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AFFDE" w14:textId="6E144DE1" w:rsidR="00FB5387" w:rsidRDefault="0051403C" w:rsidP="005E3520">
      <w:pPr>
        <w:rPr>
          <w:b/>
          <w:sz w:val="22"/>
        </w:rPr>
      </w:pPr>
      <w:r w:rsidRPr="00FB5387">
        <w:rPr>
          <w:b/>
          <w:sz w:val="22"/>
        </w:rPr>
        <w:t xml:space="preserve">Resultaten stadsmonitor </w:t>
      </w:r>
      <w:r w:rsidR="00082D6F">
        <w:rPr>
          <w:b/>
          <w:sz w:val="22"/>
        </w:rPr>
        <w:t>2017</w:t>
      </w:r>
    </w:p>
    <w:p w14:paraId="3889BEAE" w14:textId="77777777" w:rsidR="00FA20C8" w:rsidRDefault="00FA20C8" w:rsidP="00AF0F47">
      <w:pPr>
        <w:rPr>
          <w:b/>
        </w:rPr>
      </w:pPr>
    </w:p>
    <w:p w14:paraId="1764DB00" w14:textId="77777777" w:rsidR="00AF0F47" w:rsidRPr="005F1AAC" w:rsidRDefault="00D94DFE" w:rsidP="00AF0F47">
      <w:pPr>
        <w:rPr>
          <w:b/>
        </w:rPr>
      </w:pPr>
      <w:r>
        <w:rPr>
          <w:b/>
        </w:rPr>
        <w:t>Zeer t</w:t>
      </w:r>
      <w:r w:rsidR="006A134A">
        <w:rPr>
          <w:b/>
        </w:rPr>
        <w:t xml:space="preserve">evreden en </w:t>
      </w:r>
      <w:r>
        <w:rPr>
          <w:b/>
        </w:rPr>
        <w:t xml:space="preserve">meest </w:t>
      </w:r>
      <w:r w:rsidR="00BE0456">
        <w:rPr>
          <w:b/>
        </w:rPr>
        <w:t xml:space="preserve">open </w:t>
      </w:r>
      <w:r w:rsidR="00805B7E">
        <w:rPr>
          <w:b/>
        </w:rPr>
        <w:t>burgers</w:t>
      </w:r>
    </w:p>
    <w:p w14:paraId="133254E9" w14:textId="77777777" w:rsidR="00082D6F" w:rsidRDefault="00082D6F" w:rsidP="00803754"/>
    <w:p w14:paraId="0CF0342E" w14:textId="0736EF1A" w:rsidR="00082D6F" w:rsidRDefault="00082D6F" w:rsidP="00082D6F">
      <w:r>
        <w:t>Leuvenaars zijn zeer tevreden en fier over hun buurt en hun stad. 8</w:t>
      </w:r>
      <w:r w:rsidR="00F87837">
        <w:t>3</w:t>
      </w:r>
      <w:r>
        <w:t xml:space="preserve">% is </w:t>
      </w:r>
      <w:r w:rsidRPr="00D94DFE">
        <w:rPr>
          <w:u w:val="single"/>
        </w:rPr>
        <w:t>tevreden over zijn stad</w:t>
      </w:r>
      <w:r>
        <w:t xml:space="preserve"> en 7</w:t>
      </w:r>
      <w:r w:rsidR="00F87837">
        <w:t>5</w:t>
      </w:r>
      <w:r>
        <w:t xml:space="preserve">% is </w:t>
      </w:r>
      <w:r w:rsidRPr="00D94DFE">
        <w:rPr>
          <w:u w:val="single"/>
        </w:rPr>
        <w:t>fier op zijn stad</w:t>
      </w:r>
      <w:r>
        <w:t>. Daarmee neemt Leuven de tweede en vijfde positie in van de 13 steden. De fierheid over de stad is gedaald met 6% en komt terug op het niveau van in 2011.</w:t>
      </w:r>
      <w:r w:rsidR="00023715">
        <w:t xml:space="preserve"> </w:t>
      </w:r>
      <w:r w:rsidR="007B1E56">
        <w:t xml:space="preserve">82% van de Leuvenaars is tevreden over de eigen buurt, wat dezelfde score is als in 2014. </w:t>
      </w:r>
    </w:p>
    <w:p w14:paraId="760E91C3" w14:textId="77777777" w:rsidR="00082D6F" w:rsidRDefault="00082D6F" w:rsidP="00803754"/>
    <w:p w14:paraId="27FAE9DE" w14:textId="481047B8" w:rsidR="00082D6F" w:rsidRDefault="00091912" w:rsidP="00803754">
      <w:r w:rsidRPr="008263A1">
        <w:t xml:space="preserve">Reeds verschillende metingen van de stadsmonitor </w:t>
      </w:r>
      <w:r w:rsidR="008263A1" w:rsidRPr="008263A1">
        <w:t xml:space="preserve">zijn het de Leuvense inwoners die het meest </w:t>
      </w:r>
      <w:r w:rsidR="008263A1" w:rsidRPr="00110614">
        <w:rPr>
          <w:u w:val="single"/>
        </w:rPr>
        <w:t>vertrouwen stellen in hun medemens</w:t>
      </w:r>
      <w:r w:rsidR="008263A1" w:rsidRPr="008263A1">
        <w:t xml:space="preserve">. </w:t>
      </w:r>
      <w:r w:rsidR="00DC5677">
        <w:t>Namelijk m</w:t>
      </w:r>
      <w:r w:rsidR="00DC5677" w:rsidRPr="008263A1">
        <w:t xml:space="preserve">eer dan een derde van de Leuvenaars (34%) heeft veel vertrouwen in de medemens. </w:t>
      </w:r>
      <w:r w:rsidR="005E0FCF">
        <w:t xml:space="preserve">Tevens spreekt </w:t>
      </w:r>
      <w:r w:rsidR="00082D6F" w:rsidRPr="008263A1">
        <w:t>4</w:t>
      </w:r>
      <w:r w:rsidR="00F87837" w:rsidRPr="008263A1">
        <w:t>6</w:t>
      </w:r>
      <w:r w:rsidR="0015127D" w:rsidRPr="008263A1">
        <w:t>%</w:t>
      </w:r>
      <w:r w:rsidR="00082D6F" w:rsidRPr="008263A1">
        <w:t xml:space="preserve"> van</w:t>
      </w:r>
      <w:r w:rsidR="00082D6F" w:rsidRPr="00F87837">
        <w:t xml:space="preserve"> de Leuvenaars</w:t>
      </w:r>
      <w:r w:rsidR="0015127D" w:rsidRPr="00F87837">
        <w:t xml:space="preserve"> </w:t>
      </w:r>
      <w:r w:rsidR="00F5305D" w:rsidRPr="00F87837">
        <w:t xml:space="preserve">zich </w:t>
      </w:r>
      <w:r w:rsidR="00043A91" w:rsidRPr="00F87837">
        <w:rPr>
          <w:u w:val="single"/>
        </w:rPr>
        <w:t xml:space="preserve">positief </w:t>
      </w:r>
      <w:r w:rsidR="0015127D" w:rsidRPr="00F87837">
        <w:rPr>
          <w:u w:val="single"/>
        </w:rPr>
        <w:t xml:space="preserve">uit </w:t>
      </w:r>
      <w:r w:rsidR="00043A91" w:rsidRPr="00F87837">
        <w:rPr>
          <w:u w:val="single"/>
        </w:rPr>
        <w:t xml:space="preserve">tegenover </w:t>
      </w:r>
      <w:r w:rsidR="009C2EA0" w:rsidRPr="00F87837">
        <w:rPr>
          <w:u w:val="single"/>
        </w:rPr>
        <w:t xml:space="preserve">de aanwezigheid van andere culturen </w:t>
      </w:r>
      <w:r w:rsidR="001E0990" w:rsidRPr="00F87837">
        <w:t>in de stad</w:t>
      </w:r>
      <w:r w:rsidR="00043A91" w:rsidRPr="00F87837">
        <w:t xml:space="preserve">. </w:t>
      </w:r>
      <w:r w:rsidR="001E0990" w:rsidRPr="00F87837">
        <w:t>Di</w:t>
      </w:r>
      <w:r w:rsidR="00F5305D" w:rsidRPr="00F87837">
        <w:t>t is net als in de vorige editie</w:t>
      </w:r>
      <w:r w:rsidR="00082D6F" w:rsidRPr="00F87837">
        <w:t>s</w:t>
      </w:r>
      <w:r w:rsidR="00F5305D" w:rsidRPr="00F87837">
        <w:t xml:space="preserve"> </w:t>
      </w:r>
      <w:r w:rsidR="001E0990" w:rsidRPr="00F87837">
        <w:t>met voorsprong</w:t>
      </w:r>
      <w:r w:rsidR="00F5305D" w:rsidRPr="00F87837">
        <w:t xml:space="preserve"> de </w:t>
      </w:r>
      <w:r w:rsidR="001E0990" w:rsidRPr="00F87837">
        <w:t>beste</w:t>
      </w:r>
      <w:r w:rsidR="00F5305D" w:rsidRPr="00F87837">
        <w:t xml:space="preserve"> score van de 13 steden.</w:t>
      </w:r>
      <w:r w:rsidR="0058797C">
        <w:t xml:space="preserve"> </w:t>
      </w:r>
      <w:r w:rsidR="00E16C40">
        <w:t xml:space="preserve">De stad stelt 13% medewerkers van </w:t>
      </w:r>
      <w:r w:rsidR="00865C50">
        <w:t>buitenlandse</w:t>
      </w:r>
      <w:r w:rsidR="00E16C40">
        <w:t xml:space="preserve"> herkomst te werk. Dit is een gemiddelde score voor de 13 centrumsteden.</w:t>
      </w:r>
    </w:p>
    <w:p w14:paraId="5FEA9F38" w14:textId="77777777" w:rsidR="00825D9C" w:rsidRDefault="00825D9C" w:rsidP="00082D6F">
      <w:pPr>
        <w:rPr>
          <w:i/>
        </w:rPr>
      </w:pPr>
    </w:p>
    <w:p w14:paraId="46EB22AD" w14:textId="4AE1E441" w:rsidR="00E50451" w:rsidRPr="007C470B" w:rsidRDefault="007C470B" w:rsidP="00FF0FDC">
      <w:r w:rsidRPr="007C470B">
        <w:t xml:space="preserve">40% van de Leuvenaars </w:t>
      </w:r>
      <w:r w:rsidR="0074240A">
        <w:t xml:space="preserve">heeft </w:t>
      </w:r>
      <w:r w:rsidRPr="007C470B">
        <w:t xml:space="preserve">veel </w:t>
      </w:r>
      <w:r w:rsidRPr="007C470B">
        <w:rPr>
          <w:u w:val="single"/>
        </w:rPr>
        <w:t xml:space="preserve">vertrouwen in </w:t>
      </w:r>
      <w:r w:rsidR="0074240A">
        <w:rPr>
          <w:u w:val="single"/>
        </w:rPr>
        <w:t>zijn</w:t>
      </w:r>
      <w:r w:rsidRPr="007C470B">
        <w:rPr>
          <w:u w:val="single"/>
        </w:rPr>
        <w:t xml:space="preserve"> stadsbestuur. </w:t>
      </w:r>
      <w:r w:rsidRPr="007C470B">
        <w:t xml:space="preserve">Dit is een lichte daling van 2%.  Enkel </w:t>
      </w:r>
      <w:proofErr w:type="spellStart"/>
      <w:r w:rsidRPr="007C470B">
        <w:t>Mechelaars</w:t>
      </w:r>
      <w:proofErr w:type="spellEnd"/>
      <w:r w:rsidRPr="007C470B">
        <w:t xml:space="preserve"> hebben meer vertrouwen in hun stadsbestuu</w:t>
      </w:r>
      <w:r w:rsidR="00FF0FDC">
        <w:t xml:space="preserve">r </w:t>
      </w:r>
      <w:r w:rsidRPr="007C470B">
        <w:t>(52%).</w:t>
      </w:r>
      <w:r w:rsidR="00FF0FDC">
        <w:t xml:space="preserve"> </w:t>
      </w:r>
      <w:r w:rsidRPr="007C470B">
        <w:t xml:space="preserve">Na Mechelen, hebben de Leuvenaars ook het meeste vertrouwen in de </w:t>
      </w:r>
      <w:r w:rsidRPr="007C470B">
        <w:rPr>
          <w:u w:val="single"/>
        </w:rPr>
        <w:t xml:space="preserve">Vlaamse overheid </w:t>
      </w:r>
      <w:r w:rsidRPr="007C470B">
        <w:t>(27%). Dit aandeel daalde met 6%.</w:t>
      </w:r>
    </w:p>
    <w:p w14:paraId="459E1FF0" w14:textId="0DDD9CBB" w:rsidR="00E50451" w:rsidRPr="007C470B" w:rsidRDefault="007C470B" w:rsidP="00FF0FDC">
      <w:r w:rsidRPr="007C470B">
        <w:t xml:space="preserve">Ook het vertrouwen in de federale overheid daalde licht met 2%. 23% van de Leuvenaars </w:t>
      </w:r>
      <w:r w:rsidR="0074240A">
        <w:t>heeft</w:t>
      </w:r>
      <w:r w:rsidRPr="007C470B">
        <w:t xml:space="preserve"> vertrouwen in de </w:t>
      </w:r>
      <w:r w:rsidRPr="007C470B">
        <w:rPr>
          <w:u w:val="single"/>
        </w:rPr>
        <w:t>federale overheid</w:t>
      </w:r>
      <w:r w:rsidRPr="007C470B">
        <w:t>. Dit is het hoogste aandeel van de centrumsteden.</w:t>
      </w:r>
      <w:r w:rsidR="00FF0FDC">
        <w:t xml:space="preserve"> </w:t>
      </w:r>
      <w:r w:rsidRPr="007C470B">
        <w:t xml:space="preserve">In alle centrumsteden is er een forse toename in het vertrouwen in de politie. In Leuven steeg het vertrouwen in de politie met 9%. Van alle Vlaamse stedelingen hebben de Leuvenaars het meeste </w:t>
      </w:r>
      <w:r w:rsidRPr="007C470B">
        <w:rPr>
          <w:u w:val="single"/>
        </w:rPr>
        <w:t>vertrouwen in de politie</w:t>
      </w:r>
      <w:r w:rsidRPr="007C470B">
        <w:t xml:space="preserve"> (52%).</w:t>
      </w:r>
    </w:p>
    <w:p w14:paraId="5E3C12E7" w14:textId="77777777" w:rsidR="00082D6F" w:rsidRDefault="00082D6F" w:rsidP="00803754"/>
    <w:p w14:paraId="41AE0428" w14:textId="77777777" w:rsidR="00805B7E" w:rsidRDefault="00805B7E" w:rsidP="00803754"/>
    <w:p w14:paraId="4BE23D02" w14:textId="77777777" w:rsidR="00BE0456" w:rsidRDefault="000E2D32" w:rsidP="00803754">
      <w:pPr>
        <w:rPr>
          <w:b/>
        </w:rPr>
      </w:pPr>
      <w:r>
        <w:rPr>
          <w:b/>
        </w:rPr>
        <w:t>Cultuur, sport en vrije tijd</w:t>
      </w:r>
    </w:p>
    <w:p w14:paraId="414B64B2" w14:textId="6F1FD1FD" w:rsidR="004613CB" w:rsidRDefault="004A770D" w:rsidP="004613CB">
      <w:pPr>
        <w:rPr>
          <w:rFonts w:cs="Arial"/>
          <w:iCs/>
          <w:color w:val="000000"/>
          <w:szCs w:val="20"/>
          <w:lang w:eastAsia="nl-BE"/>
        </w:rPr>
      </w:pPr>
      <w:r w:rsidRPr="004A770D">
        <w:rPr>
          <w:rFonts w:cs="Arial"/>
          <w:iCs/>
          <w:color w:val="000000"/>
          <w:szCs w:val="20"/>
          <w:lang w:eastAsia="nl-BE"/>
        </w:rPr>
        <w:t xml:space="preserve">Leuven scoort </w:t>
      </w:r>
      <w:r w:rsidR="00806389">
        <w:rPr>
          <w:rFonts w:cs="Arial"/>
          <w:iCs/>
          <w:color w:val="000000"/>
          <w:szCs w:val="20"/>
          <w:lang w:eastAsia="nl-BE"/>
        </w:rPr>
        <w:t xml:space="preserve">zoals in de vorige edities </w:t>
      </w:r>
      <w:r w:rsidRPr="004A770D">
        <w:rPr>
          <w:rFonts w:cs="Arial"/>
          <w:iCs/>
          <w:color w:val="000000"/>
          <w:szCs w:val="20"/>
          <w:lang w:eastAsia="nl-BE"/>
        </w:rPr>
        <w:t xml:space="preserve">zeer goed op </w:t>
      </w:r>
      <w:r w:rsidR="0074240A">
        <w:rPr>
          <w:rFonts w:cs="Arial"/>
          <w:iCs/>
          <w:color w:val="000000"/>
          <w:szCs w:val="20"/>
          <w:lang w:eastAsia="nl-BE"/>
        </w:rPr>
        <w:t xml:space="preserve">het </w:t>
      </w:r>
      <w:r w:rsidRPr="004A770D">
        <w:rPr>
          <w:rFonts w:cs="Arial"/>
          <w:iCs/>
          <w:color w:val="000000"/>
          <w:szCs w:val="20"/>
          <w:lang w:eastAsia="nl-BE"/>
        </w:rPr>
        <w:t xml:space="preserve">vlak van cultuur. </w:t>
      </w:r>
      <w:r w:rsidR="00806389" w:rsidRPr="00806389">
        <w:rPr>
          <w:rFonts w:cs="Arial"/>
          <w:iCs/>
          <w:color w:val="000000"/>
          <w:szCs w:val="20"/>
          <w:lang w:eastAsia="nl-BE"/>
        </w:rPr>
        <w:t xml:space="preserve">Het </w:t>
      </w:r>
      <w:r w:rsidR="00806389" w:rsidRPr="004613CB">
        <w:rPr>
          <w:rFonts w:cs="Arial"/>
          <w:iCs/>
          <w:color w:val="000000"/>
          <w:szCs w:val="20"/>
          <w:u w:val="single"/>
          <w:lang w:eastAsia="nl-BE"/>
        </w:rPr>
        <w:t xml:space="preserve">percentage inwoners dat podiumkunsten bezoekt </w:t>
      </w:r>
      <w:r w:rsidR="00806389" w:rsidRPr="00806389">
        <w:rPr>
          <w:rFonts w:cs="Arial"/>
          <w:iCs/>
          <w:color w:val="000000"/>
          <w:szCs w:val="20"/>
          <w:lang w:eastAsia="nl-BE"/>
        </w:rPr>
        <w:t>(</w:t>
      </w:r>
      <w:r w:rsidR="005C50C6">
        <w:rPr>
          <w:rFonts w:cs="Arial"/>
          <w:iCs/>
          <w:color w:val="000000"/>
          <w:szCs w:val="20"/>
          <w:lang w:eastAsia="nl-BE"/>
        </w:rPr>
        <w:t>65</w:t>
      </w:r>
      <w:r w:rsidR="00806389" w:rsidRPr="00806389">
        <w:rPr>
          <w:rFonts w:cs="Arial"/>
          <w:iCs/>
          <w:color w:val="000000"/>
          <w:szCs w:val="20"/>
          <w:lang w:eastAsia="nl-BE"/>
        </w:rPr>
        <w:t xml:space="preserve">%) is het </w:t>
      </w:r>
      <w:r w:rsidR="005C50C6">
        <w:rPr>
          <w:rFonts w:cs="Arial"/>
          <w:iCs/>
          <w:color w:val="000000"/>
          <w:szCs w:val="20"/>
          <w:lang w:eastAsia="nl-BE"/>
        </w:rPr>
        <w:t xml:space="preserve">op één na </w:t>
      </w:r>
      <w:r w:rsidR="00806389" w:rsidRPr="00806389">
        <w:rPr>
          <w:rFonts w:cs="Arial"/>
          <w:iCs/>
          <w:color w:val="000000"/>
          <w:szCs w:val="20"/>
          <w:lang w:eastAsia="nl-BE"/>
        </w:rPr>
        <w:t xml:space="preserve">hoogste </w:t>
      </w:r>
      <w:r w:rsidR="00806389">
        <w:rPr>
          <w:rFonts w:cs="Arial"/>
          <w:iCs/>
          <w:color w:val="000000"/>
          <w:szCs w:val="20"/>
          <w:lang w:eastAsia="nl-BE"/>
        </w:rPr>
        <w:t>van Vlaanderen</w:t>
      </w:r>
      <w:r w:rsidR="005C50C6">
        <w:rPr>
          <w:rFonts w:cs="Arial"/>
          <w:iCs/>
          <w:color w:val="000000"/>
          <w:szCs w:val="20"/>
          <w:lang w:eastAsia="nl-BE"/>
        </w:rPr>
        <w:t>, na Gent</w:t>
      </w:r>
      <w:r w:rsidR="00806389" w:rsidRPr="00806389">
        <w:rPr>
          <w:rFonts w:cs="Arial"/>
          <w:iCs/>
          <w:color w:val="000000"/>
          <w:szCs w:val="20"/>
          <w:lang w:eastAsia="nl-BE"/>
        </w:rPr>
        <w:t xml:space="preserve">; het </w:t>
      </w:r>
      <w:r w:rsidR="00806389" w:rsidRPr="004613CB">
        <w:rPr>
          <w:rFonts w:cs="Arial"/>
          <w:iCs/>
          <w:color w:val="000000"/>
          <w:szCs w:val="20"/>
          <w:u w:val="single"/>
          <w:lang w:eastAsia="nl-BE"/>
        </w:rPr>
        <w:t>aantal inwoners dat musea bezoekt</w:t>
      </w:r>
      <w:r w:rsidR="00806389" w:rsidRPr="00806389">
        <w:rPr>
          <w:rFonts w:cs="Arial"/>
          <w:iCs/>
          <w:color w:val="000000"/>
          <w:szCs w:val="20"/>
          <w:lang w:eastAsia="nl-BE"/>
        </w:rPr>
        <w:t xml:space="preserve"> (</w:t>
      </w:r>
      <w:r w:rsidR="005C50C6">
        <w:rPr>
          <w:rFonts w:cs="Arial"/>
          <w:iCs/>
          <w:color w:val="000000"/>
          <w:szCs w:val="20"/>
          <w:lang w:eastAsia="nl-BE"/>
        </w:rPr>
        <w:t>75</w:t>
      </w:r>
      <w:r w:rsidR="00806389" w:rsidRPr="00806389">
        <w:rPr>
          <w:rFonts w:cs="Arial"/>
          <w:iCs/>
          <w:color w:val="000000"/>
          <w:szCs w:val="20"/>
          <w:lang w:eastAsia="nl-BE"/>
        </w:rPr>
        <w:t xml:space="preserve">%) </w:t>
      </w:r>
      <w:r w:rsidR="005C50C6">
        <w:rPr>
          <w:rFonts w:cs="Arial"/>
          <w:iCs/>
          <w:color w:val="000000"/>
          <w:szCs w:val="20"/>
          <w:lang w:eastAsia="nl-BE"/>
        </w:rPr>
        <w:t>het hoogste van Vlaanderen</w:t>
      </w:r>
      <w:r w:rsidR="00806389" w:rsidRPr="00806389">
        <w:rPr>
          <w:rFonts w:cs="Arial"/>
          <w:iCs/>
          <w:color w:val="000000"/>
          <w:szCs w:val="20"/>
          <w:lang w:eastAsia="nl-BE"/>
        </w:rPr>
        <w:t xml:space="preserve">. </w:t>
      </w:r>
      <w:r w:rsidR="001071CF">
        <w:rPr>
          <w:rFonts w:cs="Arial"/>
          <w:iCs/>
          <w:color w:val="000000"/>
          <w:szCs w:val="20"/>
          <w:lang w:eastAsia="nl-BE"/>
        </w:rPr>
        <w:t>D</w:t>
      </w:r>
      <w:r w:rsidR="00806389" w:rsidRPr="00806389">
        <w:rPr>
          <w:rFonts w:cs="Arial"/>
          <w:iCs/>
          <w:color w:val="000000"/>
          <w:szCs w:val="20"/>
          <w:lang w:eastAsia="nl-BE"/>
        </w:rPr>
        <w:t xml:space="preserve">e </w:t>
      </w:r>
      <w:r w:rsidR="00806389" w:rsidRPr="004613CB">
        <w:rPr>
          <w:rFonts w:cs="Arial"/>
          <w:iCs/>
          <w:color w:val="000000"/>
          <w:szCs w:val="20"/>
          <w:u w:val="single"/>
          <w:lang w:eastAsia="nl-BE"/>
        </w:rPr>
        <w:t>participatiegraad aan het verenigingsleven</w:t>
      </w:r>
      <w:r w:rsidR="00806389" w:rsidRPr="00806389">
        <w:rPr>
          <w:rFonts w:cs="Arial"/>
          <w:iCs/>
          <w:color w:val="000000"/>
          <w:szCs w:val="20"/>
          <w:lang w:eastAsia="nl-BE"/>
        </w:rPr>
        <w:t xml:space="preserve"> </w:t>
      </w:r>
      <w:r w:rsidR="00806389">
        <w:rPr>
          <w:rFonts w:cs="Arial"/>
          <w:iCs/>
          <w:color w:val="000000"/>
          <w:szCs w:val="20"/>
          <w:lang w:eastAsia="nl-BE"/>
        </w:rPr>
        <w:t xml:space="preserve">is </w:t>
      </w:r>
      <w:r w:rsidR="00823A91">
        <w:rPr>
          <w:rFonts w:cs="Arial"/>
          <w:iCs/>
          <w:color w:val="000000"/>
          <w:szCs w:val="20"/>
          <w:lang w:eastAsia="nl-BE"/>
        </w:rPr>
        <w:t>gestegen met 5% (</w:t>
      </w:r>
      <w:r w:rsidR="00806389">
        <w:rPr>
          <w:rFonts w:cs="Arial"/>
          <w:iCs/>
          <w:color w:val="000000"/>
          <w:szCs w:val="20"/>
          <w:lang w:eastAsia="nl-BE"/>
        </w:rPr>
        <w:t>4</w:t>
      </w:r>
      <w:r w:rsidR="00823A91">
        <w:rPr>
          <w:rFonts w:cs="Arial"/>
          <w:iCs/>
          <w:color w:val="000000"/>
          <w:szCs w:val="20"/>
          <w:lang w:eastAsia="nl-BE"/>
        </w:rPr>
        <w:t>7</w:t>
      </w:r>
      <w:r w:rsidR="00806389">
        <w:rPr>
          <w:rFonts w:cs="Arial"/>
          <w:iCs/>
          <w:color w:val="000000"/>
          <w:szCs w:val="20"/>
          <w:lang w:eastAsia="nl-BE"/>
        </w:rPr>
        <w:t>%</w:t>
      </w:r>
      <w:r w:rsidR="00823A91">
        <w:rPr>
          <w:rFonts w:cs="Arial"/>
          <w:iCs/>
          <w:color w:val="000000"/>
          <w:szCs w:val="20"/>
          <w:lang w:eastAsia="nl-BE"/>
        </w:rPr>
        <w:t xml:space="preserve">) en na Hasselt, </w:t>
      </w:r>
      <w:r w:rsidR="00806389" w:rsidRPr="00806389">
        <w:rPr>
          <w:rFonts w:cs="Arial"/>
          <w:iCs/>
          <w:color w:val="000000"/>
          <w:szCs w:val="20"/>
          <w:lang w:eastAsia="nl-BE"/>
        </w:rPr>
        <w:t xml:space="preserve">het hoogste van de 13 centrumsteden. </w:t>
      </w:r>
      <w:r w:rsidR="004613CB">
        <w:rPr>
          <w:rFonts w:cs="Arial"/>
          <w:iCs/>
          <w:color w:val="000000"/>
          <w:szCs w:val="20"/>
          <w:lang w:eastAsia="nl-BE"/>
        </w:rPr>
        <w:t>Ook voor het</w:t>
      </w:r>
      <w:r w:rsidR="004613CB" w:rsidRPr="004A770D">
        <w:rPr>
          <w:rFonts w:cs="Arial"/>
          <w:iCs/>
          <w:color w:val="000000"/>
          <w:szCs w:val="20"/>
          <w:lang w:eastAsia="nl-BE"/>
        </w:rPr>
        <w:t xml:space="preserve"> </w:t>
      </w:r>
      <w:r w:rsidR="004613CB" w:rsidRPr="004613CB">
        <w:rPr>
          <w:rFonts w:cs="Arial"/>
          <w:iCs/>
          <w:color w:val="000000"/>
          <w:szCs w:val="20"/>
          <w:u w:val="single"/>
          <w:lang w:eastAsia="nl-BE"/>
        </w:rPr>
        <w:t>bezoek aan een plein- of parkevenement of festival</w:t>
      </w:r>
      <w:r w:rsidR="004613CB">
        <w:rPr>
          <w:rFonts w:cs="Arial"/>
          <w:iCs/>
          <w:color w:val="000000"/>
          <w:szCs w:val="20"/>
          <w:lang w:eastAsia="nl-BE"/>
        </w:rPr>
        <w:t xml:space="preserve"> </w:t>
      </w:r>
      <w:r w:rsidR="00823A91">
        <w:rPr>
          <w:rFonts w:cs="Arial"/>
          <w:iCs/>
          <w:color w:val="000000"/>
          <w:szCs w:val="20"/>
          <w:lang w:eastAsia="nl-BE"/>
        </w:rPr>
        <w:t>(69%)</w:t>
      </w:r>
      <w:r w:rsidR="004613CB">
        <w:rPr>
          <w:rFonts w:cs="Arial"/>
          <w:iCs/>
          <w:color w:val="000000"/>
          <w:szCs w:val="20"/>
          <w:lang w:eastAsia="nl-BE"/>
        </w:rPr>
        <w:t xml:space="preserve"> haalt Leuven de hoogste score.</w:t>
      </w:r>
      <w:r w:rsidR="00EA2071">
        <w:rPr>
          <w:rFonts w:cs="Arial"/>
          <w:iCs/>
          <w:color w:val="000000"/>
          <w:szCs w:val="20"/>
          <w:lang w:eastAsia="nl-BE"/>
        </w:rPr>
        <w:t xml:space="preserve"> Met betrekking tot het </w:t>
      </w:r>
      <w:r w:rsidR="00EA2071" w:rsidRPr="006B3AAB">
        <w:rPr>
          <w:rFonts w:cs="Arial"/>
          <w:iCs/>
          <w:color w:val="000000"/>
          <w:szCs w:val="20"/>
          <w:u w:val="single"/>
          <w:lang w:eastAsia="nl-BE"/>
        </w:rPr>
        <w:t xml:space="preserve">bioscoopbezoek </w:t>
      </w:r>
      <w:r w:rsidR="00EA2071">
        <w:rPr>
          <w:rFonts w:cs="Arial"/>
          <w:iCs/>
          <w:color w:val="000000"/>
          <w:szCs w:val="20"/>
          <w:lang w:eastAsia="nl-BE"/>
        </w:rPr>
        <w:t>(6</w:t>
      </w:r>
      <w:r w:rsidR="00E70346">
        <w:rPr>
          <w:rFonts w:cs="Arial"/>
          <w:iCs/>
          <w:color w:val="000000"/>
          <w:szCs w:val="20"/>
          <w:lang w:eastAsia="nl-BE"/>
        </w:rPr>
        <w:t>6</w:t>
      </w:r>
      <w:r w:rsidR="00EA2071">
        <w:rPr>
          <w:rFonts w:cs="Arial"/>
          <w:iCs/>
          <w:color w:val="000000"/>
          <w:szCs w:val="20"/>
          <w:lang w:eastAsia="nl-BE"/>
        </w:rPr>
        <w:t xml:space="preserve">%) en </w:t>
      </w:r>
      <w:r w:rsidR="00EA2071" w:rsidRPr="006B3AAB">
        <w:rPr>
          <w:rFonts w:cs="Arial"/>
          <w:iCs/>
          <w:color w:val="000000"/>
          <w:szCs w:val="20"/>
          <w:u w:val="single"/>
          <w:lang w:eastAsia="nl-BE"/>
        </w:rPr>
        <w:t>bibliotheekbezoek</w:t>
      </w:r>
      <w:r w:rsidR="00EA2071">
        <w:rPr>
          <w:rFonts w:cs="Arial"/>
          <w:iCs/>
          <w:color w:val="000000"/>
          <w:szCs w:val="20"/>
          <w:lang w:eastAsia="nl-BE"/>
        </w:rPr>
        <w:t xml:space="preserve"> </w:t>
      </w:r>
      <w:r w:rsidR="00E70346">
        <w:rPr>
          <w:rFonts w:cs="Arial"/>
          <w:iCs/>
          <w:color w:val="000000"/>
          <w:szCs w:val="20"/>
          <w:lang w:eastAsia="nl-BE"/>
        </w:rPr>
        <w:t xml:space="preserve">(56%) </w:t>
      </w:r>
      <w:r w:rsidR="00EA2071">
        <w:rPr>
          <w:rFonts w:cs="Arial"/>
          <w:iCs/>
          <w:color w:val="000000"/>
          <w:szCs w:val="20"/>
          <w:lang w:eastAsia="nl-BE"/>
        </w:rPr>
        <w:t xml:space="preserve">is de participatiegraad </w:t>
      </w:r>
      <w:r w:rsidR="0074240A">
        <w:rPr>
          <w:rFonts w:cs="Arial"/>
          <w:iCs/>
          <w:color w:val="000000"/>
          <w:szCs w:val="20"/>
          <w:lang w:eastAsia="nl-BE"/>
        </w:rPr>
        <w:t>eerder</w:t>
      </w:r>
      <w:r w:rsidR="00EA2071">
        <w:rPr>
          <w:rFonts w:cs="Arial"/>
          <w:iCs/>
          <w:color w:val="000000"/>
          <w:szCs w:val="20"/>
          <w:lang w:eastAsia="nl-BE"/>
        </w:rPr>
        <w:t xml:space="preserve"> gemiddeld (respectievelijk </w:t>
      </w:r>
      <w:r w:rsidR="00E70346">
        <w:rPr>
          <w:rFonts w:cs="Arial"/>
          <w:iCs/>
          <w:color w:val="000000"/>
          <w:szCs w:val="20"/>
          <w:lang w:eastAsia="nl-BE"/>
        </w:rPr>
        <w:t>4</w:t>
      </w:r>
      <w:r w:rsidR="00EA2071" w:rsidRPr="00EA2071">
        <w:rPr>
          <w:rFonts w:cs="Arial"/>
          <w:iCs/>
          <w:color w:val="000000"/>
          <w:szCs w:val="20"/>
          <w:vertAlign w:val="superscript"/>
          <w:lang w:eastAsia="nl-BE"/>
        </w:rPr>
        <w:t>de</w:t>
      </w:r>
      <w:r w:rsidR="00EA2071">
        <w:rPr>
          <w:rFonts w:cs="Arial"/>
          <w:iCs/>
          <w:color w:val="000000"/>
          <w:szCs w:val="20"/>
          <w:lang w:eastAsia="nl-BE"/>
        </w:rPr>
        <w:t xml:space="preserve"> en </w:t>
      </w:r>
      <w:r w:rsidR="00E70346">
        <w:rPr>
          <w:rFonts w:cs="Arial"/>
          <w:iCs/>
          <w:color w:val="000000"/>
          <w:szCs w:val="20"/>
          <w:lang w:eastAsia="nl-BE"/>
        </w:rPr>
        <w:t>5</w:t>
      </w:r>
      <w:r w:rsidR="00EA2071" w:rsidRPr="00EA2071">
        <w:rPr>
          <w:rFonts w:cs="Arial"/>
          <w:iCs/>
          <w:color w:val="000000"/>
          <w:szCs w:val="20"/>
          <w:vertAlign w:val="superscript"/>
          <w:lang w:eastAsia="nl-BE"/>
        </w:rPr>
        <w:t>de</w:t>
      </w:r>
      <w:r w:rsidR="00EA2071">
        <w:rPr>
          <w:rFonts w:cs="Arial"/>
          <w:iCs/>
          <w:color w:val="000000"/>
          <w:szCs w:val="20"/>
          <w:lang w:eastAsia="nl-BE"/>
        </w:rPr>
        <w:t xml:space="preserve"> plaats van de centrumsteden). 85% van de Leuvenaars is tevreden over het culturele aanbod. Hiermee neemt Leuven de 5</w:t>
      </w:r>
      <w:r w:rsidR="00EA2071" w:rsidRPr="00EA2071">
        <w:rPr>
          <w:rFonts w:cs="Arial"/>
          <w:iCs/>
          <w:color w:val="000000"/>
          <w:szCs w:val="20"/>
          <w:vertAlign w:val="superscript"/>
          <w:lang w:eastAsia="nl-BE"/>
        </w:rPr>
        <w:t>de</w:t>
      </w:r>
      <w:r w:rsidR="00EA2071">
        <w:rPr>
          <w:rFonts w:cs="Arial"/>
          <w:iCs/>
          <w:color w:val="000000"/>
          <w:szCs w:val="20"/>
          <w:lang w:eastAsia="nl-BE"/>
        </w:rPr>
        <w:t xml:space="preserve"> plaats van de centrumsteden in.</w:t>
      </w:r>
    </w:p>
    <w:p w14:paraId="0462DAE2" w14:textId="77777777" w:rsidR="005C50C6" w:rsidRDefault="005C50C6" w:rsidP="004613CB">
      <w:pPr>
        <w:rPr>
          <w:rFonts w:cs="Arial"/>
          <w:iCs/>
          <w:color w:val="000000"/>
          <w:szCs w:val="20"/>
          <w:lang w:eastAsia="nl-BE"/>
        </w:rPr>
      </w:pPr>
    </w:p>
    <w:p w14:paraId="5F73B7E3" w14:textId="6DD86209" w:rsidR="00825D9C" w:rsidRDefault="004613CB" w:rsidP="00730D31">
      <w:pPr>
        <w:rPr>
          <w:rFonts w:cs="Arial"/>
          <w:iCs/>
          <w:color w:val="000000"/>
          <w:szCs w:val="20"/>
          <w:lang w:eastAsia="nl-BE"/>
        </w:rPr>
      </w:pPr>
      <w:r>
        <w:rPr>
          <w:rFonts w:cs="Arial"/>
          <w:iCs/>
          <w:color w:val="000000"/>
          <w:szCs w:val="20"/>
          <w:lang w:eastAsia="nl-BE"/>
        </w:rPr>
        <w:t xml:space="preserve">Leuven blijkt ook de sportstad bij uitstek te zijn: Leuven telt </w:t>
      </w:r>
      <w:r w:rsidR="00825D9C">
        <w:rPr>
          <w:rFonts w:cs="Arial"/>
          <w:iCs/>
          <w:color w:val="000000"/>
          <w:szCs w:val="20"/>
          <w:lang w:eastAsia="nl-BE"/>
        </w:rPr>
        <w:t>–</w:t>
      </w:r>
      <w:r w:rsidR="0074240A">
        <w:rPr>
          <w:rFonts w:cs="Arial"/>
          <w:iCs/>
          <w:color w:val="000000"/>
          <w:szCs w:val="20"/>
          <w:lang w:eastAsia="nl-BE"/>
        </w:rPr>
        <w:t xml:space="preserve"> </w:t>
      </w:r>
      <w:r w:rsidR="00825D9C">
        <w:rPr>
          <w:rFonts w:cs="Arial"/>
          <w:iCs/>
          <w:color w:val="000000"/>
          <w:szCs w:val="20"/>
          <w:lang w:eastAsia="nl-BE"/>
        </w:rPr>
        <w:t xml:space="preserve">al sinds de meting van </w:t>
      </w:r>
      <w:proofErr w:type="gramStart"/>
      <w:r w:rsidR="00825D9C">
        <w:rPr>
          <w:rFonts w:cs="Arial"/>
          <w:iCs/>
          <w:color w:val="000000"/>
          <w:szCs w:val="20"/>
          <w:lang w:eastAsia="nl-BE"/>
        </w:rPr>
        <w:t xml:space="preserve">2011- </w:t>
      </w:r>
      <w:r>
        <w:rPr>
          <w:rFonts w:cs="Arial"/>
          <w:iCs/>
          <w:color w:val="000000"/>
          <w:szCs w:val="20"/>
          <w:lang w:eastAsia="nl-BE"/>
        </w:rPr>
        <w:t>de</w:t>
      </w:r>
      <w:proofErr w:type="gramEnd"/>
      <w:r>
        <w:rPr>
          <w:rFonts w:cs="Arial"/>
          <w:iCs/>
          <w:color w:val="000000"/>
          <w:szCs w:val="20"/>
          <w:lang w:eastAsia="nl-BE"/>
        </w:rPr>
        <w:t xml:space="preserve"> hoogste </w:t>
      </w:r>
      <w:r w:rsidRPr="00F537EE">
        <w:rPr>
          <w:rFonts w:cs="Arial"/>
          <w:iCs/>
          <w:color w:val="000000"/>
          <w:szCs w:val="20"/>
          <w:u w:val="single"/>
          <w:lang w:eastAsia="nl-BE"/>
        </w:rPr>
        <w:t>sportparticipatiegraad</w:t>
      </w:r>
      <w:r w:rsidR="00F537EE">
        <w:rPr>
          <w:rFonts w:cs="Arial"/>
          <w:iCs/>
          <w:color w:val="000000"/>
          <w:szCs w:val="20"/>
          <w:u w:val="single"/>
          <w:lang w:eastAsia="nl-BE"/>
        </w:rPr>
        <w:t>.</w:t>
      </w:r>
      <w:r>
        <w:rPr>
          <w:rFonts w:cs="Arial"/>
          <w:iCs/>
          <w:color w:val="000000"/>
          <w:szCs w:val="20"/>
          <w:lang w:eastAsia="nl-BE"/>
        </w:rPr>
        <w:t xml:space="preserve"> </w:t>
      </w:r>
      <w:r w:rsidR="00825D9C">
        <w:rPr>
          <w:rFonts w:cs="Arial"/>
          <w:iCs/>
          <w:color w:val="000000"/>
          <w:szCs w:val="20"/>
          <w:lang w:eastAsia="nl-BE"/>
        </w:rPr>
        <w:t>M</w:t>
      </w:r>
      <w:r w:rsidR="00F537EE">
        <w:rPr>
          <w:rFonts w:cs="Arial"/>
          <w:iCs/>
          <w:color w:val="000000"/>
          <w:szCs w:val="20"/>
          <w:lang w:eastAsia="nl-BE"/>
        </w:rPr>
        <w:t xml:space="preserve">eer dan de helft van de Leuvense respondenten zegt </w:t>
      </w:r>
      <w:r w:rsidR="00E70150">
        <w:rPr>
          <w:rFonts w:cs="Arial"/>
          <w:iCs/>
          <w:color w:val="000000"/>
          <w:szCs w:val="20"/>
          <w:lang w:eastAsia="nl-BE"/>
        </w:rPr>
        <w:t xml:space="preserve">immers </w:t>
      </w:r>
      <w:r w:rsidR="003C6D13">
        <w:rPr>
          <w:rFonts w:cs="Arial"/>
          <w:iCs/>
          <w:color w:val="000000"/>
          <w:szCs w:val="20"/>
          <w:lang w:eastAsia="nl-BE"/>
        </w:rPr>
        <w:t xml:space="preserve">minstens wekelijks </w:t>
      </w:r>
      <w:r w:rsidR="00F537EE">
        <w:rPr>
          <w:rFonts w:cs="Arial"/>
          <w:iCs/>
          <w:color w:val="000000"/>
          <w:szCs w:val="20"/>
          <w:lang w:eastAsia="nl-BE"/>
        </w:rPr>
        <w:t xml:space="preserve">actief aan sport te doen, met </w:t>
      </w:r>
      <w:r w:rsidR="00613817">
        <w:rPr>
          <w:rFonts w:cs="Arial"/>
          <w:iCs/>
          <w:color w:val="000000"/>
          <w:szCs w:val="20"/>
          <w:lang w:eastAsia="nl-BE"/>
        </w:rPr>
        <w:t xml:space="preserve">activiteiten die </w:t>
      </w:r>
      <w:r w:rsidR="00F537EE">
        <w:rPr>
          <w:rFonts w:cs="Arial"/>
          <w:iCs/>
          <w:color w:val="000000"/>
          <w:szCs w:val="20"/>
          <w:lang w:eastAsia="nl-BE"/>
        </w:rPr>
        <w:t xml:space="preserve">minstens 20 minuten </w:t>
      </w:r>
      <w:r w:rsidR="00613817">
        <w:rPr>
          <w:rFonts w:cs="Arial"/>
          <w:iCs/>
          <w:color w:val="000000"/>
          <w:szCs w:val="20"/>
          <w:lang w:eastAsia="nl-BE"/>
        </w:rPr>
        <w:t xml:space="preserve">duren </w:t>
      </w:r>
      <w:r w:rsidR="00825D9C">
        <w:rPr>
          <w:rFonts w:cs="Arial"/>
          <w:iCs/>
          <w:color w:val="000000"/>
          <w:szCs w:val="20"/>
          <w:lang w:eastAsia="nl-BE"/>
        </w:rPr>
        <w:t>(54%)</w:t>
      </w:r>
      <w:r w:rsidR="00F537EE">
        <w:rPr>
          <w:rFonts w:cs="Arial"/>
          <w:iCs/>
          <w:color w:val="000000"/>
          <w:szCs w:val="20"/>
          <w:lang w:eastAsia="nl-BE"/>
        </w:rPr>
        <w:t xml:space="preserve">. </w:t>
      </w:r>
      <w:r w:rsidR="003C6D13">
        <w:rPr>
          <w:rFonts w:cs="Arial"/>
          <w:iCs/>
          <w:color w:val="000000"/>
          <w:szCs w:val="20"/>
          <w:lang w:eastAsia="nl-BE"/>
        </w:rPr>
        <w:t xml:space="preserve">De sportparticipatiegraad stagneerde in alle centrumsteden, behalve in Gent en Leuven waar de sportparticipatiegraad steeg. </w:t>
      </w:r>
      <w:r w:rsidR="00825D9C">
        <w:rPr>
          <w:rFonts w:cs="Arial"/>
          <w:iCs/>
          <w:color w:val="000000"/>
          <w:szCs w:val="20"/>
          <w:lang w:eastAsia="nl-BE"/>
        </w:rPr>
        <w:t>82</w:t>
      </w:r>
      <w:r>
        <w:rPr>
          <w:rFonts w:cs="Arial"/>
          <w:iCs/>
          <w:color w:val="000000"/>
          <w:szCs w:val="20"/>
          <w:lang w:eastAsia="nl-BE"/>
        </w:rPr>
        <w:t xml:space="preserve">% is tevreden over het </w:t>
      </w:r>
      <w:r w:rsidRPr="00F537EE">
        <w:rPr>
          <w:rFonts w:cs="Arial"/>
          <w:iCs/>
          <w:color w:val="000000"/>
          <w:szCs w:val="20"/>
          <w:u w:val="single"/>
          <w:lang w:eastAsia="nl-BE"/>
        </w:rPr>
        <w:t xml:space="preserve">aanbod aan </w:t>
      </w:r>
      <w:r w:rsidR="00F537EE" w:rsidRPr="00F537EE">
        <w:rPr>
          <w:rFonts w:cs="Arial"/>
          <w:iCs/>
          <w:color w:val="000000"/>
          <w:szCs w:val="20"/>
          <w:u w:val="single"/>
          <w:lang w:eastAsia="nl-BE"/>
        </w:rPr>
        <w:t>sportvoorzieningen</w:t>
      </w:r>
      <w:r w:rsidR="00F537EE">
        <w:rPr>
          <w:rFonts w:cs="Arial"/>
          <w:iCs/>
          <w:color w:val="000000"/>
          <w:szCs w:val="20"/>
          <w:lang w:eastAsia="nl-BE"/>
        </w:rPr>
        <w:t xml:space="preserve">, </w:t>
      </w:r>
      <w:r w:rsidR="00825D9C">
        <w:rPr>
          <w:rFonts w:cs="Arial"/>
          <w:iCs/>
          <w:color w:val="000000"/>
          <w:szCs w:val="20"/>
          <w:lang w:eastAsia="nl-BE"/>
        </w:rPr>
        <w:t xml:space="preserve">de tweede </w:t>
      </w:r>
      <w:r w:rsidR="00F537EE">
        <w:rPr>
          <w:rFonts w:cs="Arial"/>
          <w:iCs/>
          <w:color w:val="000000"/>
          <w:szCs w:val="20"/>
          <w:lang w:eastAsia="nl-BE"/>
        </w:rPr>
        <w:t>hoogste score van alle centrumsteden.</w:t>
      </w:r>
      <w:r w:rsidR="00E70150">
        <w:rPr>
          <w:rFonts w:cs="Arial"/>
          <w:iCs/>
          <w:color w:val="000000"/>
          <w:szCs w:val="20"/>
          <w:lang w:eastAsia="nl-BE"/>
        </w:rPr>
        <w:t xml:space="preserve"> </w:t>
      </w:r>
      <w:r w:rsidR="0045055F">
        <w:rPr>
          <w:rFonts w:cs="Arial"/>
          <w:iCs/>
          <w:color w:val="000000"/>
          <w:szCs w:val="20"/>
          <w:lang w:eastAsia="nl-BE"/>
        </w:rPr>
        <w:t xml:space="preserve">Vanaf deze editie van de stadsmonitor wordt ook het </w:t>
      </w:r>
      <w:r w:rsidR="0045055F" w:rsidRPr="00420EB0">
        <w:rPr>
          <w:rFonts w:cs="Arial"/>
          <w:iCs/>
          <w:color w:val="000000"/>
          <w:szCs w:val="20"/>
          <w:u w:val="single"/>
          <w:lang w:eastAsia="nl-BE"/>
        </w:rPr>
        <w:t>sportaanbod</w:t>
      </w:r>
      <w:r w:rsidR="0045055F">
        <w:rPr>
          <w:rFonts w:cs="Arial"/>
          <w:iCs/>
          <w:color w:val="000000"/>
          <w:szCs w:val="20"/>
          <w:lang w:eastAsia="nl-BE"/>
        </w:rPr>
        <w:t xml:space="preserve"> in beeld gebracht. </w:t>
      </w:r>
      <w:r w:rsidR="0045055F" w:rsidRPr="00E70346">
        <w:rPr>
          <w:rFonts w:cs="Arial"/>
          <w:iCs/>
          <w:color w:val="000000"/>
          <w:szCs w:val="20"/>
          <w:lang w:eastAsia="nl-BE"/>
        </w:rPr>
        <w:t>Leuven scoort hier gemiddeld met 3.</w:t>
      </w:r>
      <w:r w:rsidR="00E70346" w:rsidRPr="00E70346">
        <w:rPr>
          <w:rFonts w:cs="Arial"/>
          <w:iCs/>
          <w:color w:val="000000"/>
          <w:szCs w:val="20"/>
          <w:lang w:eastAsia="nl-BE"/>
        </w:rPr>
        <w:t>3</w:t>
      </w:r>
      <w:r w:rsidR="0045055F" w:rsidRPr="00E70346">
        <w:rPr>
          <w:rFonts w:cs="Arial"/>
          <w:iCs/>
          <w:color w:val="000000"/>
          <w:szCs w:val="20"/>
          <w:lang w:eastAsia="nl-BE"/>
        </w:rPr>
        <w:t xml:space="preserve"> sportclubs per 1000 inwoners, maar telt wel grote sportclubs met veel leden, en 2.</w:t>
      </w:r>
      <w:r w:rsidR="00E70346" w:rsidRPr="00E70346">
        <w:rPr>
          <w:rFonts w:cs="Arial"/>
          <w:iCs/>
          <w:color w:val="000000"/>
          <w:szCs w:val="20"/>
          <w:lang w:eastAsia="nl-BE"/>
        </w:rPr>
        <w:t>8</w:t>
      </w:r>
      <w:r w:rsidR="0045055F" w:rsidRPr="00E70346">
        <w:rPr>
          <w:rFonts w:cs="Arial"/>
          <w:iCs/>
          <w:color w:val="000000"/>
          <w:szCs w:val="20"/>
          <w:lang w:eastAsia="nl-BE"/>
        </w:rPr>
        <w:t xml:space="preserve"> sportinfrastructuur per 1000 inwoners. De recente investeringen en nog geplande investeringen in sportinfrastructuur zijn dus broodnodig.</w:t>
      </w:r>
      <w:r w:rsidR="003B2BE4" w:rsidRPr="003B2BE4">
        <w:rPr>
          <w:noProof/>
        </w:rPr>
        <w:t xml:space="preserve"> </w:t>
      </w:r>
    </w:p>
    <w:p w14:paraId="75626A9C" w14:textId="77777777" w:rsidR="00920B6F" w:rsidRDefault="00920B6F" w:rsidP="00730D31">
      <w:pPr>
        <w:rPr>
          <w:rFonts w:cs="Arial"/>
          <w:iCs/>
          <w:color w:val="000000"/>
          <w:szCs w:val="20"/>
          <w:lang w:eastAsia="nl-BE"/>
        </w:rPr>
      </w:pPr>
    </w:p>
    <w:p w14:paraId="5BA0D922" w14:textId="77777777" w:rsidR="002D2597" w:rsidRDefault="00F537EE" w:rsidP="00730D31">
      <w:pPr>
        <w:rPr>
          <w:rFonts w:cs="Arial"/>
          <w:iCs/>
          <w:color w:val="000000"/>
          <w:szCs w:val="20"/>
          <w:lang w:eastAsia="nl-BE"/>
        </w:rPr>
      </w:pPr>
      <w:r>
        <w:rPr>
          <w:rFonts w:cs="Arial"/>
          <w:iCs/>
          <w:color w:val="000000"/>
          <w:szCs w:val="20"/>
          <w:lang w:eastAsia="nl-BE"/>
        </w:rPr>
        <w:t>Ook</w:t>
      </w:r>
      <w:r w:rsidR="004613CB">
        <w:rPr>
          <w:rFonts w:cs="Arial"/>
          <w:iCs/>
          <w:color w:val="000000"/>
          <w:szCs w:val="20"/>
          <w:lang w:eastAsia="nl-BE"/>
        </w:rPr>
        <w:t xml:space="preserve"> </w:t>
      </w:r>
      <w:r>
        <w:rPr>
          <w:rFonts w:cs="Arial"/>
          <w:iCs/>
          <w:color w:val="000000"/>
          <w:szCs w:val="20"/>
          <w:lang w:eastAsia="nl-BE"/>
        </w:rPr>
        <w:t xml:space="preserve">qua </w:t>
      </w:r>
      <w:r w:rsidRPr="00F537EE">
        <w:rPr>
          <w:rFonts w:cs="Arial"/>
          <w:iCs/>
          <w:color w:val="000000"/>
          <w:szCs w:val="20"/>
          <w:u w:val="single"/>
          <w:lang w:eastAsia="nl-BE"/>
        </w:rPr>
        <w:t>tevredenheid over het aanbod</w:t>
      </w:r>
      <w:r w:rsidRPr="004613CB">
        <w:rPr>
          <w:rFonts w:cs="Arial"/>
          <w:iCs/>
          <w:color w:val="000000"/>
          <w:szCs w:val="20"/>
          <w:u w:val="single"/>
          <w:lang w:eastAsia="nl-BE"/>
        </w:rPr>
        <w:t xml:space="preserve"> aan recreatievoorzieningen</w:t>
      </w:r>
      <w:r>
        <w:rPr>
          <w:rFonts w:cs="Arial"/>
          <w:iCs/>
          <w:color w:val="000000"/>
          <w:szCs w:val="20"/>
          <w:lang w:eastAsia="nl-BE"/>
        </w:rPr>
        <w:t xml:space="preserve"> behaalt Leuven met </w:t>
      </w:r>
      <w:r w:rsidR="004613CB">
        <w:rPr>
          <w:rFonts w:cs="Arial"/>
          <w:iCs/>
          <w:color w:val="000000"/>
          <w:szCs w:val="20"/>
          <w:lang w:eastAsia="nl-BE"/>
        </w:rPr>
        <w:t xml:space="preserve">een score van </w:t>
      </w:r>
      <w:r w:rsidR="008258E4">
        <w:rPr>
          <w:rFonts w:cs="Arial"/>
          <w:iCs/>
          <w:color w:val="000000"/>
          <w:szCs w:val="20"/>
          <w:lang w:eastAsia="nl-BE"/>
        </w:rPr>
        <w:t>79</w:t>
      </w:r>
      <w:r w:rsidR="004613CB">
        <w:rPr>
          <w:rFonts w:cs="Arial"/>
          <w:iCs/>
          <w:color w:val="000000"/>
          <w:szCs w:val="20"/>
          <w:lang w:eastAsia="nl-BE"/>
        </w:rPr>
        <w:t xml:space="preserve">% </w:t>
      </w:r>
      <w:r>
        <w:rPr>
          <w:rFonts w:cs="Arial"/>
          <w:iCs/>
          <w:color w:val="000000"/>
          <w:szCs w:val="20"/>
          <w:lang w:eastAsia="nl-BE"/>
        </w:rPr>
        <w:t xml:space="preserve">een toppositie; </w:t>
      </w:r>
      <w:r w:rsidR="004613CB">
        <w:rPr>
          <w:rFonts w:cs="Arial"/>
          <w:iCs/>
          <w:color w:val="000000"/>
          <w:szCs w:val="20"/>
          <w:lang w:eastAsia="nl-BE"/>
        </w:rPr>
        <w:t xml:space="preserve">enkel Genk </w:t>
      </w:r>
      <w:r w:rsidR="00441B1D">
        <w:rPr>
          <w:rFonts w:cs="Arial"/>
          <w:iCs/>
          <w:color w:val="000000"/>
          <w:szCs w:val="20"/>
          <w:lang w:eastAsia="nl-BE"/>
        </w:rPr>
        <w:t xml:space="preserve">en Mechelen </w:t>
      </w:r>
      <w:r>
        <w:rPr>
          <w:rFonts w:cs="Arial"/>
          <w:iCs/>
          <w:color w:val="000000"/>
          <w:szCs w:val="20"/>
          <w:lang w:eastAsia="nl-BE"/>
        </w:rPr>
        <w:t>sco</w:t>
      </w:r>
      <w:r w:rsidR="00441B1D">
        <w:rPr>
          <w:rFonts w:cs="Arial"/>
          <w:iCs/>
          <w:color w:val="000000"/>
          <w:szCs w:val="20"/>
          <w:lang w:eastAsia="nl-BE"/>
        </w:rPr>
        <w:t>ren</w:t>
      </w:r>
      <w:r>
        <w:rPr>
          <w:rFonts w:cs="Arial"/>
          <w:iCs/>
          <w:color w:val="000000"/>
          <w:szCs w:val="20"/>
          <w:lang w:eastAsia="nl-BE"/>
        </w:rPr>
        <w:t xml:space="preserve"> </w:t>
      </w:r>
      <w:r w:rsidR="004613CB">
        <w:rPr>
          <w:rFonts w:cs="Arial"/>
          <w:iCs/>
          <w:color w:val="000000"/>
          <w:szCs w:val="20"/>
          <w:lang w:eastAsia="nl-BE"/>
        </w:rPr>
        <w:t>nog beter.</w:t>
      </w:r>
    </w:p>
    <w:p w14:paraId="44B6CDEF" w14:textId="77777777" w:rsidR="008258E4" w:rsidRDefault="008258E4" w:rsidP="00730D31">
      <w:pPr>
        <w:rPr>
          <w:rFonts w:cs="Arial"/>
          <w:iCs/>
          <w:color w:val="000000"/>
          <w:szCs w:val="20"/>
          <w:lang w:eastAsia="nl-BE"/>
        </w:rPr>
      </w:pPr>
    </w:p>
    <w:p w14:paraId="340728D6" w14:textId="77777777" w:rsidR="002D2597" w:rsidRPr="0095070E" w:rsidRDefault="008542DC" w:rsidP="002D2597">
      <w:pPr>
        <w:rPr>
          <w:b/>
        </w:rPr>
      </w:pPr>
      <w:r>
        <w:rPr>
          <w:b/>
        </w:rPr>
        <w:t>Veilige</w:t>
      </w:r>
      <w:r w:rsidR="00164755">
        <w:rPr>
          <w:b/>
        </w:rPr>
        <w:t xml:space="preserve"> en</w:t>
      </w:r>
      <w:r>
        <w:rPr>
          <w:b/>
        </w:rPr>
        <w:t xml:space="preserve"> duurzame stad</w:t>
      </w:r>
    </w:p>
    <w:p w14:paraId="11B65982" w14:textId="6C00DADA" w:rsidR="008542DC" w:rsidRDefault="00DA75A4" w:rsidP="00DA75A4">
      <w:r>
        <w:t xml:space="preserve">Leuven </w:t>
      </w:r>
      <w:r w:rsidR="000E4C08">
        <w:t>blijft een zeer veilige stad</w:t>
      </w:r>
      <w:r>
        <w:t xml:space="preserve">: </w:t>
      </w:r>
      <w:r w:rsidR="00FE4596">
        <w:t>Leuvenaars</w:t>
      </w:r>
      <w:r w:rsidR="00C56384" w:rsidRPr="00C56384">
        <w:t xml:space="preserve"> rapporteren ook weinig</w:t>
      </w:r>
      <w:r w:rsidR="00C56384">
        <w:rPr>
          <w:u w:val="single"/>
        </w:rPr>
        <w:t xml:space="preserve"> </w:t>
      </w:r>
      <w:r w:rsidRPr="007740D6">
        <w:rPr>
          <w:u w:val="single"/>
        </w:rPr>
        <w:t xml:space="preserve">mijdgedrag </w:t>
      </w:r>
      <w:r w:rsidRPr="00C56384">
        <w:t>en</w:t>
      </w:r>
      <w:r w:rsidRPr="007740D6">
        <w:rPr>
          <w:u w:val="single"/>
        </w:rPr>
        <w:t xml:space="preserve"> onveiligheidsgevoelens</w:t>
      </w:r>
      <w:r w:rsidR="000E4C08">
        <w:t>. Leuven bezet voor deze indicatoren</w:t>
      </w:r>
      <w:r w:rsidR="00FE4596">
        <w:t xml:space="preserve"> de</w:t>
      </w:r>
      <w:r w:rsidR="000E4C08">
        <w:t xml:space="preserve"> tweede </w:t>
      </w:r>
      <w:r w:rsidR="0013519A">
        <w:t>plaats van alle centrumsteden</w:t>
      </w:r>
      <w:r w:rsidR="0032740D">
        <w:t>, na Brugge</w:t>
      </w:r>
      <w:r>
        <w:t xml:space="preserve">. </w:t>
      </w:r>
      <w:r w:rsidR="0013519A">
        <w:t xml:space="preserve">Het onveiligheidsgevoel en mijdgedrag in de </w:t>
      </w:r>
      <w:r w:rsidR="0013519A" w:rsidRPr="00E32432">
        <w:rPr>
          <w:u w:val="single"/>
        </w:rPr>
        <w:t>stad</w:t>
      </w:r>
      <w:r w:rsidR="0013519A">
        <w:t xml:space="preserve"> </w:t>
      </w:r>
      <w:r w:rsidR="0074240A">
        <w:t xml:space="preserve">is </w:t>
      </w:r>
      <w:r w:rsidR="0013519A">
        <w:t xml:space="preserve">ongeveer gehalveerd ten opzichte van 2014. Het onveiligheidsgevoel en mijdgedrag in de </w:t>
      </w:r>
      <w:r w:rsidR="0013519A" w:rsidRPr="00E32432">
        <w:rPr>
          <w:u w:val="single"/>
        </w:rPr>
        <w:t>buurt</w:t>
      </w:r>
      <w:r w:rsidR="0013519A">
        <w:t xml:space="preserve"> is ongeveer hetzelfde gebleven </w:t>
      </w:r>
      <w:r w:rsidR="00FA4F7B">
        <w:t>als</w:t>
      </w:r>
      <w:r w:rsidR="0013519A">
        <w:t xml:space="preserve"> in 2014.  In alle centrumsteden ligt het </w:t>
      </w:r>
      <w:r w:rsidR="0013519A" w:rsidRPr="00E32432">
        <w:rPr>
          <w:u w:val="single"/>
        </w:rPr>
        <w:t>onveiligheidsgevoel</w:t>
      </w:r>
      <w:r w:rsidR="0013519A">
        <w:t xml:space="preserve"> in de stad (10% centrumsteden, 4% Leuven) hoger dan in de buurt (6% centrumsteden, 3% Leuven). In de centrumsteden </w:t>
      </w:r>
      <w:r w:rsidR="0013519A" w:rsidRPr="00E32432">
        <w:rPr>
          <w:u w:val="single"/>
        </w:rPr>
        <w:t>mijd</w:t>
      </w:r>
      <w:r w:rsidR="0013519A">
        <w:t xml:space="preserve">t 7% bepaalde plekken in de </w:t>
      </w:r>
      <w:r w:rsidR="0013519A" w:rsidRPr="00E32432">
        <w:rPr>
          <w:u w:val="single"/>
        </w:rPr>
        <w:t xml:space="preserve">buurt </w:t>
      </w:r>
      <w:r w:rsidR="0013519A">
        <w:t xml:space="preserve">(Leuven </w:t>
      </w:r>
      <w:r w:rsidR="00616595">
        <w:t>3</w:t>
      </w:r>
      <w:r w:rsidR="0013519A">
        <w:t xml:space="preserve">%) en 13% in de </w:t>
      </w:r>
      <w:r w:rsidR="0013519A" w:rsidRPr="00E32432">
        <w:rPr>
          <w:u w:val="single"/>
        </w:rPr>
        <w:t>stad</w:t>
      </w:r>
      <w:r w:rsidR="0013519A">
        <w:t xml:space="preserve"> (Leuven </w:t>
      </w:r>
      <w:r w:rsidR="00616595">
        <w:t>5</w:t>
      </w:r>
      <w:r w:rsidR="0013519A">
        <w:t>%).</w:t>
      </w:r>
    </w:p>
    <w:p w14:paraId="1B9499CF" w14:textId="77777777" w:rsidR="0013519A" w:rsidRDefault="0013519A" w:rsidP="00FE4596">
      <w:pPr>
        <w:rPr>
          <w:i/>
          <w:sz w:val="18"/>
          <w:szCs w:val="18"/>
        </w:rPr>
      </w:pPr>
    </w:p>
    <w:p w14:paraId="2EDD5BEA" w14:textId="623A1ED3" w:rsidR="00270C3D" w:rsidRDefault="008E3253" w:rsidP="008E3253">
      <w:r>
        <w:lastRenderedPageBreak/>
        <w:t xml:space="preserve">Wat betreft het </w:t>
      </w:r>
      <w:r w:rsidRPr="00270C3D">
        <w:rPr>
          <w:u w:val="single"/>
        </w:rPr>
        <w:t>aantal verkeersslachtoffers bij fietsers</w:t>
      </w:r>
      <w:r>
        <w:t xml:space="preserve"> zijn de cijfers </w:t>
      </w:r>
      <w:r w:rsidR="00B61E50">
        <w:t>gedaald t.o.v.</w:t>
      </w:r>
      <w:r w:rsidR="00E17BA0">
        <w:t xml:space="preserve"> </w:t>
      </w:r>
      <w:r w:rsidR="0074240A">
        <w:t xml:space="preserve">de </w:t>
      </w:r>
      <w:r w:rsidR="00E17BA0">
        <w:t>vorige meting</w:t>
      </w:r>
      <w:r w:rsidR="00B61E50">
        <w:t>, namelijk 1.6</w:t>
      </w:r>
      <w:r>
        <w:t xml:space="preserve"> per 10.000 inwoners per jaar</w:t>
      </w:r>
      <w:r w:rsidR="00B61E50">
        <w:t xml:space="preserve"> (2.</w:t>
      </w:r>
      <w:r w:rsidR="0091274E">
        <w:t>3</w:t>
      </w:r>
      <w:r w:rsidR="00FA4F7B">
        <w:t xml:space="preserve"> </w:t>
      </w:r>
      <w:r w:rsidR="00B61E50">
        <w:t>vorige meting)</w:t>
      </w:r>
      <w:r>
        <w:t xml:space="preserve">. </w:t>
      </w:r>
      <w:r w:rsidR="00B61E50">
        <w:t>Voor Leuven, een stad waar de bewoners zich zowel voor vrije tijd als voor woon</w:t>
      </w:r>
      <w:r w:rsidR="0074240A">
        <w:t>-</w:t>
      </w:r>
      <w:proofErr w:type="gramStart"/>
      <w:r w:rsidR="00B61E50">
        <w:t>werkverkeer  zeer</w:t>
      </w:r>
      <w:proofErr w:type="gramEnd"/>
      <w:r w:rsidR="00B61E50">
        <w:t xml:space="preserve"> veel met de fiets verplaatsen en waar </w:t>
      </w:r>
      <w:r>
        <w:t xml:space="preserve">de 45.000 </w:t>
      </w:r>
      <w:proofErr w:type="spellStart"/>
      <w:r>
        <w:t>kotstudenten</w:t>
      </w:r>
      <w:proofErr w:type="spellEnd"/>
      <w:r w:rsidR="00270C3D">
        <w:t xml:space="preserve"> </w:t>
      </w:r>
      <w:r>
        <w:t xml:space="preserve">niet worden meegerekend in de bevolkingscijfers, </w:t>
      </w:r>
      <w:r w:rsidR="00B61E50">
        <w:t>is dit een zeer goed resultaat.</w:t>
      </w:r>
      <w:r w:rsidR="00B34CD0">
        <w:t xml:space="preserve"> </w:t>
      </w:r>
      <w:r w:rsidR="00B34CD0" w:rsidRPr="0074342C">
        <w:t>61% van de Leuvenaars vindt dat het in hun buurt veilig fietsen is.</w:t>
      </w:r>
      <w:r w:rsidR="00B34CD0">
        <w:t xml:space="preserve"> Dit is de 5</w:t>
      </w:r>
      <w:r w:rsidR="00B34CD0" w:rsidRPr="00B34CD0">
        <w:rPr>
          <w:vertAlign w:val="superscript"/>
        </w:rPr>
        <w:t>de</w:t>
      </w:r>
      <w:r w:rsidR="00B34CD0">
        <w:t xml:space="preserve"> b</w:t>
      </w:r>
      <w:r w:rsidR="0074342C">
        <w:t>este score van de centrumsteden (gemiddelde centrumsteden 57%).</w:t>
      </w:r>
    </w:p>
    <w:p w14:paraId="7D1BDEF2" w14:textId="77777777" w:rsidR="00270C3D" w:rsidRDefault="00270C3D" w:rsidP="008E3253"/>
    <w:p w14:paraId="61BEE5A6" w14:textId="4E6B6D9D" w:rsidR="00D82698" w:rsidRDefault="00063962" w:rsidP="0043003A">
      <w:r>
        <w:t xml:space="preserve">Uniek </w:t>
      </w:r>
      <w:r w:rsidR="007740D6">
        <w:t>in alle</w:t>
      </w:r>
      <w:r>
        <w:t xml:space="preserve"> Vlaamse steden is dat in Leuven</w:t>
      </w:r>
      <w:r w:rsidR="007F7229">
        <w:t xml:space="preserve"> en in Gent</w:t>
      </w:r>
      <w:r>
        <w:t xml:space="preserve"> de fiets het meeste gebruikt wordt </w:t>
      </w:r>
      <w:r w:rsidRPr="00063962">
        <w:rPr>
          <w:u w:val="single"/>
        </w:rPr>
        <w:t>voor woon-werkverkeer</w:t>
      </w:r>
      <w:r w:rsidR="007F7229">
        <w:t>.</w:t>
      </w:r>
      <w:r>
        <w:t xml:space="preserve"> </w:t>
      </w:r>
      <w:r w:rsidR="007F7229">
        <w:t>In Leuven neemt bijna de helft van de inwoners (47%) de fiets om naar het werk of school te gaan, iets meer dan een derde (35%) verplaatst zic</w:t>
      </w:r>
      <w:r w:rsidR="007C1604">
        <w:t>h met de auto als bestuurder plus 3% als passagier</w:t>
      </w:r>
      <w:r>
        <w:t>.</w:t>
      </w:r>
      <w:r w:rsidR="00F54890" w:rsidRPr="00F54890">
        <w:t xml:space="preserve"> </w:t>
      </w:r>
    </w:p>
    <w:p w14:paraId="39696E95" w14:textId="77777777" w:rsidR="0074342C" w:rsidRDefault="0074342C" w:rsidP="0043003A"/>
    <w:p w14:paraId="1CC40BEB" w14:textId="73299711" w:rsidR="0074342C" w:rsidRDefault="0074342C" w:rsidP="0043003A">
      <w:r>
        <w:t xml:space="preserve">Het </w:t>
      </w:r>
      <w:r w:rsidRPr="00063962">
        <w:rPr>
          <w:u w:val="single"/>
        </w:rPr>
        <w:t>fietsbezit</w:t>
      </w:r>
      <w:r>
        <w:t xml:space="preserve"> (minstens 1 fiets per gezin) is eerder gemiddeld met 82% en </w:t>
      </w:r>
      <w:r w:rsidR="00016C00">
        <w:t xml:space="preserve">gestegen </w:t>
      </w:r>
      <w:r>
        <w:t xml:space="preserve">t.o.v. </w:t>
      </w:r>
      <w:r w:rsidR="00FA4F7B">
        <w:t xml:space="preserve">de </w:t>
      </w:r>
      <w:r>
        <w:t>vorige meting.</w:t>
      </w:r>
      <w:r w:rsidR="00551AD6">
        <w:t xml:space="preserve"> </w:t>
      </w:r>
      <w:r w:rsidR="00016C00">
        <w:t>Vanaf deze meting wordt ook</w:t>
      </w:r>
      <w:r w:rsidR="00551AD6">
        <w:t xml:space="preserve"> naar </w:t>
      </w:r>
      <w:r w:rsidR="00016C00">
        <w:t>het</w:t>
      </w:r>
      <w:r w:rsidR="00551AD6">
        <w:t xml:space="preserve"> beschikk</w:t>
      </w:r>
      <w:r w:rsidR="00016C00">
        <w:t>en</w:t>
      </w:r>
      <w:r w:rsidR="00551AD6">
        <w:t xml:space="preserve"> </w:t>
      </w:r>
      <w:r w:rsidR="00016C00">
        <w:t>over</w:t>
      </w:r>
      <w:r w:rsidR="00551AD6">
        <w:t xml:space="preserve"> ee</w:t>
      </w:r>
      <w:r w:rsidR="00016C00">
        <w:t>n elektrische fiets gepeild</w:t>
      </w:r>
      <w:r w:rsidR="00551AD6">
        <w:t xml:space="preserve">.  Uit deze peiling blijkt dat 15% van de inwoners beschikt over een elektrische fiets en </w:t>
      </w:r>
      <w:r w:rsidR="00016C00">
        <w:t>5</w:t>
      </w:r>
      <w:r w:rsidR="00241289">
        <w:t xml:space="preserve">% over een fietskar of bakfiets. </w:t>
      </w:r>
    </w:p>
    <w:p w14:paraId="2809FC48" w14:textId="77777777" w:rsidR="00A0720E" w:rsidRDefault="00A0720E" w:rsidP="0043003A"/>
    <w:p w14:paraId="22201BB1" w14:textId="0A590C03" w:rsidR="0043003A" w:rsidRDefault="007740D6" w:rsidP="0043003A">
      <w:r>
        <w:t xml:space="preserve">Het </w:t>
      </w:r>
      <w:r w:rsidRPr="00063962">
        <w:rPr>
          <w:u w:val="single"/>
        </w:rPr>
        <w:t>autobezit</w:t>
      </w:r>
      <w:r>
        <w:t xml:space="preserve"> (minstens 1 auto per gezin) is in Leuven het </w:t>
      </w:r>
      <w:r w:rsidR="00460150">
        <w:t xml:space="preserve">derde </w:t>
      </w:r>
      <w:r>
        <w:t>laagste</w:t>
      </w:r>
      <w:r w:rsidR="00BC645B">
        <w:t>, na Antwerpen en Oostende,</w:t>
      </w:r>
      <w:r>
        <w:t xml:space="preserve"> van alle centrumsteden</w:t>
      </w:r>
      <w:r w:rsidR="00BC645B">
        <w:t xml:space="preserve"> en gedaald ten opzichte van 2014. </w:t>
      </w:r>
      <w:r w:rsidR="00241289">
        <w:t xml:space="preserve">79% van de inwoners rapporteert minstens 1 auto te bezitten in het gezin. 5% van de inwoners heeft een abonnement voor autodelen, wat het tweede </w:t>
      </w:r>
      <w:r w:rsidR="002B22A3">
        <w:t xml:space="preserve">hoogste is van de centrumsteden en 12% doet aan autodelen. </w:t>
      </w:r>
      <w:r w:rsidR="002B22A3" w:rsidRPr="00F50CA7">
        <w:t xml:space="preserve">56% heeft </w:t>
      </w:r>
      <w:r w:rsidR="002B22A3">
        <w:t>e</w:t>
      </w:r>
      <w:r w:rsidR="002B22A3" w:rsidRPr="00F50CA7">
        <w:t>en abonnement openbaar vervoer</w:t>
      </w:r>
      <w:r w:rsidR="002B22A3">
        <w:t>. Daarmee scoort Leuven het hoogst.</w:t>
      </w:r>
    </w:p>
    <w:p w14:paraId="152E78C1" w14:textId="32DB374A" w:rsidR="00D82698" w:rsidRDefault="00D82698" w:rsidP="0043003A"/>
    <w:p w14:paraId="1EE4EE0C" w14:textId="14EF79FC" w:rsidR="00D82698" w:rsidRDefault="00D82698" w:rsidP="0043003A">
      <w:r>
        <w:t xml:space="preserve">Leuvenaars zijn van mening dat het </w:t>
      </w:r>
      <w:r w:rsidRPr="00420EB0">
        <w:rPr>
          <w:u w:val="single"/>
        </w:rPr>
        <w:t>centrum van de stad gemakkelijk te bereiken</w:t>
      </w:r>
      <w:r>
        <w:t xml:space="preserve"> is met de fiets (83% - 3</w:t>
      </w:r>
      <w:r w:rsidRPr="00D82698">
        <w:rPr>
          <w:vertAlign w:val="superscript"/>
        </w:rPr>
        <w:t>de</w:t>
      </w:r>
      <w:r>
        <w:t xml:space="preserve"> plaats) en met het openbaar vervoer (80% - 1</w:t>
      </w:r>
      <w:r w:rsidRPr="00D82698">
        <w:rPr>
          <w:vertAlign w:val="superscript"/>
        </w:rPr>
        <w:t>ste</w:t>
      </w:r>
      <w:r>
        <w:t xml:space="preserve"> plaats). </w:t>
      </w:r>
    </w:p>
    <w:p w14:paraId="44D31E5B" w14:textId="77777777" w:rsidR="00F87D95" w:rsidRDefault="00F87D95" w:rsidP="0043003A"/>
    <w:p w14:paraId="724066B7" w14:textId="77777777" w:rsidR="006B37AC" w:rsidRDefault="008E3253" w:rsidP="008542DC">
      <w:r>
        <w:t xml:space="preserve">De </w:t>
      </w:r>
      <w:r w:rsidRPr="00063962">
        <w:rPr>
          <w:u w:val="single"/>
        </w:rPr>
        <w:t>energiezuinigheid van de woning</w:t>
      </w:r>
      <w:r w:rsidR="00063962">
        <w:t xml:space="preserve"> </w:t>
      </w:r>
      <w:r w:rsidR="006B37AC">
        <w:t>nam verder toe in Leuven. 59% van de inwoners rapporteert dat ze wonen in een energiezuinige woning. D</w:t>
      </w:r>
      <w:r>
        <w:t>e stad haalt hier</w:t>
      </w:r>
      <w:r w:rsidR="00063962">
        <w:t>mee</w:t>
      </w:r>
      <w:r>
        <w:t xml:space="preserve"> de </w:t>
      </w:r>
      <w:r w:rsidR="006B37AC">
        <w:t>vierde beste</w:t>
      </w:r>
      <w:r>
        <w:t xml:space="preserve"> score. Ook het </w:t>
      </w:r>
      <w:r w:rsidR="002B22A3">
        <w:t xml:space="preserve">aandeel </w:t>
      </w:r>
      <w:r w:rsidR="00063962">
        <w:t xml:space="preserve">aan </w:t>
      </w:r>
      <w:r w:rsidR="00F7031C">
        <w:t xml:space="preserve">woningen dat </w:t>
      </w:r>
      <w:proofErr w:type="spellStart"/>
      <w:r>
        <w:t>energierecupererend</w:t>
      </w:r>
      <w:proofErr w:type="spellEnd"/>
      <w:r>
        <w:t xml:space="preserve"> </w:t>
      </w:r>
      <w:r w:rsidR="00063962">
        <w:t>is</w:t>
      </w:r>
      <w:r w:rsidR="007B19C7">
        <w:t>,</w:t>
      </w:r>
      <w:r>
        <w:t xml:space="preserve"> </w:t>
      </w:r>
      <w:r w:rsidR="00EC280E">
        <w:t xml:space="preserve">is licht toegenomen en bedraagt momenteel 29%. </w:t>
      </w:r>
    </w:p>
    <w:p w14:paraId="2BB17CA2" w14:textId="77777777" w:rsidR="00EC280E" w:rsidRDefault="00EC280E" w:rsidP="008542DC"/>
    <w:p w14:paraId="530719F5" w14:textId="3A886D0A" w:rsidR="00416C7B" w:rsidRDefault="00416C7B" w:rsidP="00416C7B">
      <w:r>
        <w:t xml:space="preserve">In deze editie van de stadsmonitor werd uitvoerig gepeild naar het </w:t>
      </w:r>
      <w:r w:rsidRPr="00420EB0">
        <w:rPr>
          <w:u w:val="single"/>
        </w:rPr>
        <w:t>milieubewust handelen en het ecologisch gedrag</w:t>
      </w:r>
      <w:r>
        <w:t>. Uit deze resultaten blijkt dat Leuvenaars reeds zeer bewust handelen en ecologisch gedrag vertonen. In de tabel hieronder worden de belangrijkste resultaten samengevat en wordt telkens de plaats t.o.v. de andere centrumsteden weergegeven:</w:t>
      </w:r>
    </w:p>
    <w:p w14:paraId="1ECBDE05" w14:textId="77777777" w:rsidR="0074240A" w:rsidRDefault="0074240A" w:rsidP="00416C7B"/>
    <w:tbl>
      <w:tblPr>
        <w:tblStyle w:val="Tabelraster"/>
        <w:tblW w:w="0" w:type="auto"/>
        <w:tblLook w:val="04A0" w:firstRow="1" w:lastRow="0" w:firstColumn="1" w:lastColumn="0" w:noHBand="0" w:noVBand="1"/>
      </w:tblPr>
      <w:tblGrid>
        <w:gridCol w:w="4503"/>
        <w:gridCol w:w="1559"/>
        <w:gridCol w:w="1559"/>
      </w:tblGrid>
      <w:tr w:rsidR="008468E4" w14:paraId="6EC0E82E" w14:textId="77777777" w:rsidTr="008468E4">
        <w:tc>
          <w:tcPr>
            <w:tcW w:w="7621" w:type="dxa"/>
            <w:gridSpan w:val="3"/>
          </w:tcPr>
          <w:p w14:paraId="527BB44E" w14:textId="77777777" w:rsidR="008468E4" w:rsidRPr="006E5C3B" w:rsidRDefault="008468E4" w:rsidP="008468E4">
            <w:pPr>
              <w:rPr>
                <w:b/>
                <w:sz w:val="20"/>
                <w:szCs w:val="20"/>
              </w:rPr>
            </w:pPr>
            <w:r w:rsidRPr="006E5C3B">
              <w:rPr>
                <w:b/>
                <w:sz w:val="20"/>
                <w:szCs w:val="20"/>
              </w:rPr>
              <w:t>Aandeel van Leuvenaars dat aangeeft dit minstens wekelijks te doen</w:t>
            </w:r>
          </w:p>
        </w:tc>
      </w:tr>
      <w:tr w:rsidR="00416C7B" w14:paraId="0A174292" w14:textId="77777777" w:rsidTr="008468E4">
        <w:tc>
          <w:tcPr>
            <w:tcW w:w="4503" w:type="dxa"/>
          </w:tcPr>
          <w:p w14:paraId="7998105D" w14:textId="77777777" w:rsidR="00416C7B" w:rsidRPr="008468E4" w:rsidRDefault="00416C7B" w:rsidP="00416C7B">
            <w:pPr>
              <w:rPr>
                <w:sz w:val="20"/>
                <w:szCs w:val="20"/>
              </w:rPr>
            </w:pPr>
            <w:r w:rsidRPr="008468E4">
              <w:rPr>
                <w:sz w:val="20"/>
                <w:szCs w:val="20"/>
              </w:rPr>
              <w:t>Weggooien van eten beperken</w:t>
            </w:r>
          </w:p>
        </w:tc>
        <w:tc>
          <w:tcPr>
            <w:tcW w:w="1559" w:type="dxa"/>
          </w:tcPr>
          <w:p w14:paraId="59B8B01A" w14:textId="77777777" w:rsidR="00416C7B" w:rsidRPr="00416C7B" w:rsidRDefault="00416C7B" w:rsidP="00D03E90">
            <w:pPr>
              <w:jc w:val="center"/>
              <w:rPr>
                <w:sz w:val="20"/>
                <w:szCs w:val="20"/>
              </w:rPr>
            </w:pPr>
            <w:r w:rsidRPr="00416C7B">
              <w:rPr>
                <w:sz w:val="20"/>
                <w:szCs w:val="20"/>
              </w:rPr>
              <w:t>67%</w:t>
            </w:r>
          </w:p>
        </w:tc>
        <w:tc>
          <w:tcPr>
            <w:tcW w:w="1559" w:type="dxa"/>
          </w:tcPr>
          <w:p w14:paraId="1D48BA14" w14:textId="77777777" w:rsidR="00416C7B" w:rsidRPr="00416C7B" w:rsidRDefault="00416C7B" w:rsidP="00D03E90">
            <w:pPr>
              <w:jc w:val="center"/>
              <w:rPr>
                <w:sz w:val="20"/>
                <w:szCs w:val="20"/>
              </w:rPr>
            </w:pPr>
            <w:r w:rsidRPr="00416C7B">
              <w:rPr>
                <w:sz w:val="20"/>
                <w:szCs w:val="20"/>
              </w:rPr>
              <w:t>2</w:t>
            </w:r>
          </w:p>
        </w:tc>
      </w:tr>
      <w:tr w:rsidR="00416C7B" w14:paraId="40837A30" w14:textId="77777777" w:rsidTr="008468E4">
        <w:tc>
          <w:tcPr>
            <w:tcW w:w="4503" w:type="dxa"/>
          </w:tcPr>
          <w:p w14:paraId="3961A272" w14:textId="77777777" w:rsidR="00416C7B" w:rsidRPr="008468E4" w:rsidRDefault="00416C7B" w:rsidP="00416C7B">
            <w:pPr>
              <w:rPr>
                <w:sz w:val="20"/>
                <w:szCs w:val="20"/>
              </w:rPr>
            </w:pPr>
            <w:r w:rsidRPr="008468E4">
              <w:rPr>
                <w:sz w:val="20"/>
                <w:szCs w:val="20"/>
              </w:rPr>
              <w:t>Letten op het seizoen</w:t>
            </w:r>
          </w:p>
        </w:tc>
        <w:tc>
          <w:tcPr>
            <w:tcW w:w="1559" w:type="dxa"/>
          </w:tcPr>
          <w:p w14:paraId="71A1CD39" w14:textId="77777777" w:rsidR="00416C7B" w:rsidRPr="00416C7B" w:rsidRDefault="00416C7B" w:rsidP="00D03E90">
            <w:pPr>
              <w:jc w:val="center"/>
              <w:rPr>
                <w:sz w:val="20"/>
                <w:szCs w:val="20"/>
              </w:rPr>
            </w:pPr>
            <w:r w:rsidRPr="00416C7B">
              <w:rPr>
                <w:sz w:val="20"/>
                <w:szCs w:val="20"/>
              </w:rPr>
              <w:t>43%</w:t>
            </w:r>
          </w:p>
        </w:tc>
        <w:tc>
          <w:tcPr>
            <w:tcW w:w="1559" w:type="dxa"/>
          </w:tcPr>
          <w:p w14:paraId="674AED6E" w14:textId="77777777" w:rsidR="00416C7B" w:rsidRPr="00416C7B" w:rsidRDefault="00416C7B" w:rsidP="00D03E90">
            <w:pPr>
              <w:jc w:val="center"/>
              <w:rPr>
                <w:sz w:val="20"/>
                <w:szCs w:val="20"/>
              </w:rPr>
            </w:pPr>
            <w:r w:rsidRPr="00416C7B">
              <w:rPr>
                <w:sz w:val="20"/>
                <w:szCs w:val="20"/>
              </w:rPr>
              <w:t>2</w:t>
            </w:r>
          </w:p>
        </w:tc>
      </w:tr>
      <w:tr w:rsidR="00416C7B" w14:paraId="14D61F27" w14:textId="77777777" w:rsidTr="008468E4">
        <w:tc>
          <w:tcPr>
            <w:tcW w:w="4503" w:type="dxa"/>
          </w:tcPr>
          <w:p w14:paraId="0EF36C7E" w14:textId="77777777" w:rsidR="00416C7B" w:rsidRPr="008468E4" w:rsidRDefault="00416C7B" w:rsidP="00416C7B">
            <w:pPr>
              <w:rPr>
                <w:sz w:val="20"/>
                <w:szCs w:val="20"/>
              </w:rPr>
            </w:pPr>
            <w:proofErr w:type="gramStart"/>
            <w:r w:rsidRPr="008468E4">
              <w:rPr>
                <w:sz w:val="20"/>
                <w:szCs w:val="20"/>
              </w:rPr>
              <w:t>BIO voedsel</w:t>
            </w:r>
            <w:proofErr w:type="gramEnd"/>
            <w:r w:rsidRPr="008468E4">
              <w:rPr>
                <w:sz w:val="20"/>
                <w:szCs w:val="20"/>
              </w:rPr>
              <w:t xml:space="preserve"> kopen</w:t>
            </w:r>
          </w:p>
        </w:tc>
        <w:tc>
          <w:tcPr>
            <w:tcW w:w="1559" w:type="dxa"/>
          </w:tcPr>
          <w:p w14:paraId="2B95C437" w14:textId="77777777" w:rsidR="00416C7B" w:rsidRPr="00416C7B" w:rsidRDefault="00416C7B" w:rsidP="00D03E90">
            <w:pPr>
              <w:jc w:val="center"/>
              <w:rPr>
                <w:sz w:val="20"/>
                <w:szCs w:val="20"/>
              </w:rPr>
            </w:pPr>
            <w:r w:rsidRPr="00416C7B">
              <w:rPr>
                <w:sz w:val="20"/>
                <w:szCs w:val="20"/>
              </w:rPr>
              <w:t>32%</w:t>
            </w:r>
          </w:p>
        </w:tc>
        <w:tc>
          <w:tcPr>
            <w:tcW w:w="1559" w:type="dxa"/>
          </w:tcPr>
          <w:p w14:paraId="2B952C6D" w14:textId="77777777" w:rsidR="00416C7B" w:rsidRPr="00416C7B" w:rsidRDefault="00416C7B" w:rsidP="00D03E90">
            <w:pPr>
              <w:jc w:val="center"/>
              <w:rPr>
                <w:sz w:val="20"/>
                <w:szCs w:val="20"/>
              </w:rPr>
            </w:pPr>
            <w:r w:rsidRPr="00416C7B">
              <w:rPr>
                <w:sz w:val="20"/>
                <w:szCs w:val="20"/>
              </w:rPr>
              <w:t>1</w:t>
            </w:r>
          </w:p>
        </w:tc>
      </w:tr>
      <w:tr w:rsidR="00416C7B" w14:paraId="35A0BC7E" w14:textId="77777777" w:rsidTr="008468E4">
        <w:tc>
          <w:tcPr>
            <w:tcW w:w="4503" w:type="dxa"/>
          </w:tcPr>
          <w:p w14:paraId="7575CE91" w14:textId="77777777" w:rsidR="00416C7B" w:rsidRPr="008468E4" w:rsidRDefault="00416C7B" w:rsidP="00416C7B">
            <w:pPr>
              <w:rPr>
                <w:sz w:val="20"/>
                <w:szCs w:val="20"/>
              </w:rPr>
            </w:pPr>
            <w:r w:rsidRPr="008468E4">
              <w:rPr>
                <w:sz w:val="20"/>
                <w:szCs w:val="20"/>
              </w:rPr>
              <w:t>Vegetarisch eten</w:t>
            </w:r>
          </w:p>
        </w:tc>
        <w:tc>
          <w:tcPr>
            <w:tcW w:w="1559" w:type="dxa"/>
          </w:tcPr>
          <w:p w14:paraId="438281BE" w14:textId="77777777" w:rsidR="00416C7B" w:rsidRPr="00416C7B" w:rsidRDefault="00416C7B" w:rsidP="00D03E90">
            <w:pPr>
              <w:jc w:val="center"/>
              <w:rPr>
                <w:sz w:val="20"/>
                <w:szCs w:val="20"/>
              </w:rPr>
            </w:pPr>
            <w:r w:rsidRPr="00416C7B">
              <w:rPr>
                <w:sz w:val="20"/>
                <w:szCs w:val="20"/>
              </w:rPr>
              <w:t>32%</w:t>
            </w:r>
          </w:p>
        </w:tc>
        <w:tc>
          <w:tcPr>
            <w:tcW w:w="1559" w:type="dxa"/>
          </w:tcPr>
          <w:p w14:paraId="00B8339D" w14:textId="77777777" w:rsidR="00416C7B" w:rsidRPr="00416C7B" w:rsidRDefault="00416C7B" w:rsidP="00D03E90">
            <w:pPr>
              <w:jc w:val="center"/>
              <w:rPr>
                <w:sz w:val="20"/>
                <w:szCs w:val="20"/>
              </w:rPr>
            </w:pPr>
            <w:r w:rsidRPr="00416C7B">
              <w:rPr>
                <w:sz w:val="20"/>
                <w:szCs w:val="20"/>
              </w:rPr>
              <w:t>1</w:t>
            </w:r>
          </w:p>
        </w:tc>
      </w:tr>
      <w:tr w:rsidR="00416C7B" w14:paraId="7C4DCB10" w14:textId="77777777" w:rsidTr="008468E4">
        <w:tc>
          <w:tcPr>
            <w:tcW w:w="4503" w:type="dxa"/>
          </w:tcPr>
          <w:p w14:paraId="726BF8ED" w14:textId="77777777" w:rsidR="00416C7B" w:rsidRPr="008468E4" w:rsidRDefault="00416C7B" w:rsidP="00416C7B">
            <w:pPr>
              <w:rPr>
                <w:sz w:val="20"/>
                <w:szCs w:val="20"/>
              </w:rPr>
            </w:pPr>
            <w:r w:rsidRPr="008468E4">
              <w:rPr>
                <w:sz w:val="20"/>
                <w:szCs w:val="20"/>
              </w:rPr>
              <w:t>Lokaal gekweekt groenten en fruit eten</w:t>
            </w:r>
          </w:p>
        </w:tc>
        <w:tc>
          <w:tcPr>
            <w:tcW w:w="1559" w:type="dxa"/>
          </w:tcPr>
          <w:p w14:paraId="33398885" w14:textId="77777777" w:rsidR="00416C7B" w:rsidRPr="00416C7B" w:rsidRDefault="00416C7B" w:rsidP="00D03E90">
            <w:pPr>
              <w:jc w:val="center"/>
              <w:rPr>
                <w:sz w:val="20"/>
                <w:szCs w:val="20"/>
              </w:rPr>
            </w:pPr>
            <w:r w:rsidRPr="00416C7B">
              <w:rPr>
                <w:sz w:val="20"/>
                <w:szCs w:val="20"/>
              </w:rPr>
              <w:t>19%</w:t>
            </w:r>
          </w:p>
        </w:tc>
        <w:tc>
          <w:tcPr>
            <w:tcW w:w="1559" w:type="dxa"/>
          </w:tcPr>
          <w:p w14:paraId="413729DD" w14:textId="77777777" w:rsidR="00416C7B" w:rsidRPr="00416C7B" w:rsidRDefault="00416C7B" w:rsidP="00D03E90">
            <w:pPr>
              <w:jc w:val="center"/>
              <w:rPr>
                <w:sz w:val="20"/>
                <w:szCs w:val="20"/>
              </w:rPr>
            </w:pPr>
            <w:r w:rsidRPr="00416C7B">
              <w:rPr>
                <w:sz w:val="20"/>
                <w:szCs w:val="20"/>
              </w:rPr>
              <w:t>7</w:t>
            </w:r>
          </w:p>
        </w:tc>
      </w:tr>
      <w:tr w:rsidR="008468E4" w14:paraId="35CE1B6D" w14:textId="77777777" w:rsidTr="002A4143">
        <w:tc>
          <w:tcPr>
            <w:tcW w:w="7621" w:type="dxa"/>
            <w:gridSpan w:val="3"/>
          </w:tcPr>
          <w:p w14:paraId="4F742577" w14:textId="77777777" w:rsidR="008468E4" w:rsidRPr="006E5C3B" w:rsidRDefault="008468E4" w:rsidP="008468E4">
            <w:pPr>
              <w:rPr>
                <w:b/>
                <w:sz w:val="20"/>
                <w:szCs w:val="20"/>
              </w:rPr>
            </w:pPr>
            <w:r w:rsidRPr="006E5C3B">
              <w:rPr>
                <w:b/>
                <w:sz w:val="20"/>
                <w:szCs w:val="20"/>
              </w:rPr>
              <w:t>Aandeel van Leuvenaars dat aangeeft dit reeds te doen:</w:t>
            </w:r>
          </w:p>
        </w:tc>
      </w:tr>
      <w:tr w:rsidR="00416C7B" w14:paraId="1CCF9285" w14:textId="77777777" w:rsidTr="008468E4">
        <w:tc>
          <w:tcPr>
            <w:tcW w:w="4503" w:type="dxa"/>
          </w:tcPr>
          <w:p w14:paraId="3EFEEC3B" w14:textId="77777777" w:rsidR="00416C7B" w:rsidRPr="00D03E90" w:rsidRDefault="00D03E90" w:rsidP="00416C7B">
            <w:pPr>
              <w:rPr>
                <w:sz w:val="20"/>
                <w:szCs w:val="20"/>
              </w:rPr>
            </w:pPr>
            <w:r w:rsidRPr="00D03E90">
              <w:rPr>
                <w:sz w:val="20"/>
                <w:szCs w:val="20"/>
              </w:rPr>
              <w:t>Verwarming lager zetten</w:t>
            </w:r>
          </w:p>
        </w:tc>
        <w:tc>
          <w:tcPr>
            <w:tcW w:w="1559" w:type="dxa"/>
          </w:tcPr>
          <w:p w14:paraId="54B95FC9" w14:textId="77777777" w:rsidR="00416C7B" w:rsidRPr="00D03E90" w:rsidRDefault="00D03E90" w:rsidP="00D03E90">
            <w:pPr>
              <w:jc w:val="center"/>
              <w:rPr>
                <w:sz w:val="20"/>
                <w:szCs w:val="20"/>
              </w:rPr>
            </w:pPr>
            <w:r>
              <w:rPr>
                <w:sz w:val="20"/>
                <w:szCs w:val="20"/>
              </w:rPr>
              <w:t>72%</w:t>
            </w:r>
          </w:p>
        </w:tc>
        <w:tc>
          <w:tcPr>
            <w:tcW w:w="1559" w:type="dxa"/>
          </w:tcPr>
          <w:p w14:paraId="669C7F61" w14:textId="1648419C" w:rsidR="00416C7B" w:rsidRPr="00D03E90" w:rsidRDefault="00995FAD" w:rsidP="00D03E90">
            <w:pPr>
              <w:jc w:val="center"/>
              <w:rPr>
                <w:sz w:val="20"/>
                <w:szCs w:val="20"/>
              </w:rPr>
            </w:pPr>
            <w:r>
              <w:rPr>
                <w:sz w:val="20"/>
                <w:szCs w:val="20"/>
              </w:rPr>
              <w:t>5</w:t>
            </w:r>
          </w:p>
        </w:tc>
      </w:tr>
      <w:tr w:rsidR="00D03E90" w14:paraId="1D7E7848" w14:textId="77777777" w:rsidTr="008468E4">
        <w:tc>
          <w:tcPr>
            <w:tcW w:w="4503" w:type="dxa"/>
          </w:tcPr>
          <w:p w14:paraId="6234A978" w14:textId="77777777" w:rsidR="00D03E90" w:rsidRPr="00D03E90" w:rsidRDefault="00D03E90" w:rsidP="00416C7B">
            <w:pPr>
              <w:rPr>
                <w:sz w:val="20"/>
                <w:szCs w:val="20"/>
              </w:rPr>
            </w:pPr>
            <w:r w:rsidRPr="00D03E90">
              <w:rPr>
                <w:sz w:val="20"/>
                <w:szCs w:val="20"/>
              </w:rPr>
              <w:t>Minder water gebruiken</w:t>
            </w:r>
          </w:p>
        </w:tc>
        <w:tc>
          <w:tcPr>
            <w:tcW w:w="1559" w:type="dxa"/>
          </w:tcPr>
          <w:p w14:paraId="1956406E" w14:textId="77777777" w:rsidR="00D03E90" w:rsidRPr="00D03E90" w:rsidRDefault="00D03E90" w:rsidP="00D03E90">
            <w:pPr>
              <w:jc w:val="center"/>
              <w:rPr>
                <w:sz w:val="20"/>
                <w:szCs w:val="20"/>
              </w:rPr>
            </w:pPr>
            <w:r>
              <w:rPr>
                <w:sz w:val="20"/>
                <w:szCs w:val="20"/>
              </w:rPr>
              <w:t>63%</w:t>
            </w:r>
          </w:p>
        </w:tc>
        <w:tc>
          <w:tcPr>
            <w:tcW w:w="1559" w:type="dxa"/>
          </w:tcPr>
          <w:p w14:paraId="1CF27BA7" w14:textId="77777777" w:rsidR="00D03E90" w:rsidRPr="00D03E90" w:rsidRDefault="00D03E90" w:rsidP="00D03E90">
            <w:pPr>
              <w:jc w:val="center"/>
              <w:rPr>
                <w:sz w:val="20"/>
                <w:szCs w:val="20"/>
              </w:rPr>
            </w:pPr>
            <w:r>
              <w:rPr>
                <w:sz w:val="20"/>
                <w:szCs w:val="20"/>
              </w:rPr>
              <w:t>11</w:t>
            </w:r>
          </w:p>
        </w:tc>
      </w:tr>
      <w:tr w:rsidR="00D03E90" w14:paraId="7ADFF971" w14:textId="77777777" w:rsidTr="008468E4">
        <w:tc>
          <w:tcPr>
            <w:tcW w:w="4503" w:type="dxa"/>
          </w:tcPr>
          <w:p w14:paraId="17D927FE" w14:textId="77777777" w:rsidR="00D03E90" w:rsidRPr="00D03E90" w:rsidRDefault="00D03E90" w:rsidP="00416C7B">
            <w:pPr>
              <w:rPr>
                <w:sz w:val="20"/>
                <w:szCs w:val="20"/>
              </w:rPr>
            </w:pPr>
            <w:r w:rsidRPr="00D03E90">
              <w:rPr>
                <w:sz w:val="20"/>
                <w:szCs w:val="20"/>
              </w:rPr>
              <w:t>Minder elektriciteit gebruiken</w:t>
            </w:r>
          </w:p>
        </w:tc>
        <w:tc>
          <w:tcPr>
            <w:tcW w:w="1559" w:type="dxa"/>
          </w:tcPr>
          <w:p w14:paraId="00DFF9D8" w14:textId="77777777" w:rsidR="00D03E90" w:rsidRPr="00D03E90" w:rsidRDefault="00D03E90" w:rsidP="00D03E90">
            <w:pPr>
              <w:jc w:val="center"/>
              <w:rPr>
                <w:sz w:val="20"/>
                <w:szCs w:val="20"/>
              </w:rPr>
            </w:pPr>
            <w:r>
              <w:rPr>
                <w:sz w:val="20"/>
                <w:szCs w:val="20"/>
              </w:rPr>
              <w:t>64%</w:t>
            </w:r>
          </w:p>
        </w:tc>
        <w:tc>
          <w:tcPr>
            <w:tcW w:w="1559" w:type="dxa"/>
          </w:tcPr>
          <w:p w14:paraId="2B807A48" w14:textId="77777777" w:rsidR="00D03E90" w:rsidRPr="00D03E90" w:rsidRDefault="00D03E90" w:rsidP="00D03E90">
            <w:pPr>
              <w:jc w:val="center"/>
              <w:rPr>
                <w:sz w:val="20"/>
                <w:szCs w:val="20"/>
              </w:rPr>
            </w:pPr>
            <w:r>
              <w:rPr>
                <w:sz w:val="20"/>
                <w:szCs w:val="20"/>
              </w:rPr>
              <w:t>8</w:t>
            </w:r>
          </w:p>
        </w:tc>
      </w:tr>
      <w:tr w:rsidR="00D03E90" w14:paraId="56D49BDF" w14:textId="77777777" w:rsidTr="008468E4">
        <w:tc>
          <w:tcPr>
            <w:tcW w:w="4503" w:type="dxa"/>
          </w:tcPr>
          <w:p w14:paraId="7D714EDC" w14:textId="77777777" w:rsidR="00D03E90" w:rsidRPr="00D03E90" w:rsidRDefault="00D03E90" w:rsidP="00416C7B">
            <w:pPr>
              <w:rPr>
                <w:sz w:val="20"/>
                <w:szCs w:val="20"/>
              </w:rPr>
            </w:pPr>
            <w:r w:rsidRPr="00D03E90">
              <w:rPr>
                <w:sz w:val="20"/>
                <w:szCs w:val="20"/>
              </w:rPr>
              <w:t>Hoeveelheid afval verminderen</w:t>
            </w:r>
          </w:p>
        </w:tc>
        <w:tc>
          <w:tcPr>
            <w:tcW w:w="1559" w:type="dxa"/>
          </w:tcPr>
          <w:p w14:paraId="7EEB383E" w14:textId="77777777" w:rsidR="00D03E90" w:rsidRPr="00D03E90" w:rsidRDefault="00D03E90" w:rsidP="00D03E90">
            <w:pPr>
              <w:jc w:val="center"/>
              <w:rPr>
                <w:sz w:val="20"/>
                <w:szCs w:val="20"/>
              </w:rPr>
            </w:pPr>
            <w:r>
              <w:rPr>
                <w:sz w:val="20"/>
                <w:szCs w:val="20"/>
              </w:rPr>
              <w:t>65%</w:t>
            </w:r>
          </w:p>
        </w:tc>
        <w:tc>
          <w:tcPr>
            <w:tcW w:w="1559" w:type="dxa"/>
          </w:tcPr>
          <w:p w14:paraId="20D99923" w14:textId="77777777" w:rsidR="00D03E90" w:rsidRPr="00D03E90" w:rsidRDefault="00D03E90" w:rsidP="00D03E90">
            <w:pPr>
              <w:jc w:val="center"/>
              <w:rPr>
                <w:sz w:val="20"/>
                <w:szCs w:val="20"/>
              </w:rPr>
            </w:pPr>
            <w:r>
              <w:rPr>
                <w:sz w:val="20"/>
                <w:szCs w:val="20"/>
              </w:rPr>
              <w:t>3</w:t>
            </w:r>
          </w:p>
        </w:tc>
      </w:tr>
      <w:tr w:rsidR="00D03E90" w14:paraId="4243968B" w14:textId="77777777" w:rsidTr="008468E4">
        <w:tc>
          <w:tcPr>
            <w:tcW w:w="4503" w:type="dxa"/>
          </w:tcPr>
          <w:p w14:paraId="356C90C8" w14:textId="77777777" w:rsidR="00D03E90" w:rsidRPr="00D03E90" w:rsidRDefault="00D03E90" w:rsidP="00416C7B">
            <w:pPr>
              <w:rPr>
                <w:sz w:val="20"/>
                <w:szCs w:val="20"/>
              </w:rPr>
            </w:pPr>
            <w:r w:rsidRPr="00D03E90">
              <w:rPr>
                <w:sz w:val="20"/>
                <w:szCs w:val="20"/>
              </w:rPr>
              <w:t>Minder fossiele brandstoffen</w:t>
            </w:r>
          </w:p>
        </w:tc>
        <w:tc>
          <w:tcPr>
            <w:tcW w:w="1559" w:type="dxa"/>
          </w:tcPr>
          <w:p w14:paraId="20FB092C" w14:textId="77777777" w:rsidR="00D03E90" w:rsidRPr="00D03E90" w:rsidRDefault="00D03E90" w:rsidP="00D03E90">
            <w:pPr>
              <w:jc w:val="center"/>
              <w:rPr>
                <w:sz w:val="20"/>
                <w:szCs w:val="20"/>
              </w:rPr>
            </w:pPr>
            <w:r>
              <w:rPr>
                <w:sz w:val="20"/>
                <w:szCs w:val="20"/>
              </w:rPr>
              <w:t>52%</w:t>
            </w:r>
          </w:p>
        </w:tc>
        <w:tc>
          <w:tcPr>
            <w:tcW w:w="1559" w:type="dxa"/>
          </w:tcPr>
          <w:p w14:paraId="599B9F85" w14:textId="77777777" w:rsidR="00D03E90" w:rsidRPr="00D03E90" w:rsidRDefault="00D03E90" w:rsidP="00D03E90">
            <w:pPr>
              <w:jc w:val="center"/>
              <w:rPr>
                <w:sz w:val="20"/>
                <w:szCs w:val="20"/>
              </w:rPr>
            </w:pPr>
            <w:r>
              <w:rPr>
                <w:sz w:val="20"/>
                <w:szCs w:val="20"/>
              </w:rPr>
              <w:t>1</w:t>
            </w:r>
          </w:p>
        </w:tc>
      </w:tr>
      <w:tr w:rsidR="00D03E90" w14:paraId="0EF5E272" w14:textId="77777777" w:rsidTr="008468E4">
        <w:tc>
          <w:tcPr>
            <w:tcW w:w="4503" w:type="dxa"/>
          </w:tcPr>
          <w:p w14:paraId="35F33B8C" w14:textId="77777777" w:rsidR="00D03E90" w:rsidRPr="00D03E90" w:rsidRDefault="00D03E90" w:rsidP="00416C7B">
            <w:pPr>
              <w:rPr>
                <w:sz w:val="20"/>
                <w:szCs w:val="20"/>
              </w:rPr>
            </w:pPr>
            <w:r w:rsidRPr="00D03E90">
              <w:rPr>
                <w:sz w:val="20"/>
                <w:szCs w:val="20"/>
              </w:rPr>
              <w:t>Kleine spullen delen</w:t>
            </w:r>
          </w:p>
        </w:tc>
        <w:tc>
          <w:tcPr>
            <w:tcW w:w="1559" w:type="dxa"/>
          </w:tcPr>
          <w:p w14:paraId="4F4036A9" w14:textId="77777777" w:rsidR="00D03E90" w:rsidRPr="00D03E90" w:rsidRDefault="00D03E90" w:rsidP="00D03E90">
            <w:pPr>
              <w:jc w:val="center"/>
              <w:rPr>
                <w:sz w:val="20"/>
                <w:szCs w:val="20"/>
              </w:rPr>
            </w:pPr>
            <w:r>
              <w:rPr>
                <w:sz w:val="20"/>
                <w:szCs w:val="20"/>
              </w:rPr>
              <w:t>30%</w:t>
            </w:r>
          </w:p>
        </w:tc>
        <w:tc>
          <w:tcPr>
            <w:tcW w:w="1559" w:type="dxa"/>
          </w:tcPr>
          <w:p w14:paraId="6D7DD233" w14:textId="77777777" w:rsidR="00D03E90" w:rsidRPr="00D03E90" w:rsidRDefault="00D03E90" w:rsidP="00D03E90">
            <w:pPr>
              <w:jc w:val="center"/>
              <w:rPr>
                <w:sz w:val="20"/>
                <w:szCs w:val="20"/>
              </w:rPr>
            </w:pPr>
            <w:r>
              <w:rPr>
                <w:sz w:val="20"/>
                <w:szCs w:val="20"/>
              </w:rPr>
              <w:t>5</w:t>
            </w:r>
          </w:p>
        </w:tc>
      </w:tr>
      <w:tr w:rsidR="00D03E90" w14:paraId="4B4BCA0E" w14:textId="77777777" w:rsidTr="008468E4">
        <w:tc>
          <w:tcPr>
            <w:tcW w:w="4503" w:type="dxa"/>
          </w:tcPr>
          <w:p w14:paraId="09FCE2E5" w14:textId="77777777" w:rsidR="00D03E90" w:rsidRPr="00D03E90" w:rsidRDefault="00D03E90" w:rsidP="00416C7B">
            <w:pPr>
              <w:rPr>
                <w:sz w:val="20"/>
                <w:szCs w:val="20"/>
              </w:rPr>
            </w:pPr>
            <w:r w:rsidRPr="00D03E90">
              <w:rPr>
                <w:sz w:val="20"/>
                <w:szCs w:val="20"/>
              </w:rPr>
              <w:t>Autodelen</w:t>
            </w:r>
          </w:p>
        </w:tc>
        <w:tc>
          <w:tcPr>
            <w:tcW w:w="1559" w:type="dxa"/>
          </w:tcPr>
          <w:p w14:paraId="45991680" w14:textId="77777777" w:rsidR="00D03E90" w:rsidRPr="00D03E90" w:rsidRDefault="00D03E90" w:rsidP="00D03E90">
            <w:pPr>
              <w:jc w:val="center"/>
              <w:rPr>
                <w:sz w:val="20"/>
                <w:szCs w:val="20"/>
              </w:rPr>
            </w:pPr>
            <w:r>
              <w:rPr>
                <w:sz w:val="20"/>
                <w:szCs w:val="20"/>
              </w:rPr>
              <w:t>12%</w:t>
            </w:r>
          </w:p>
        </w:tc>
        <w:tc>
          <w:tcPr>
            <w:tcW w:w="1559" w:type="dxa"/>
          </w:tcPr>
          <w:p w14:paraId="1D0105E4" w14:textId="77777777" w:rsidR="00D03E90" w:rsidRPr="00D03E90" w:rsidRDefault="00D03E90" w:rsidP="00D03E90">
            <w:pPr>
              <w:jc w:val="center"/>
              <w:rPr>
                <w:sz w:val="20"/>
                <w:szCs w:val="20"/>
              </w:rPr>
            </w:pPr>
            <w:r>
              <w:rPr>
                <w:sz w:val="20"/>
                <w:szCs w:val="20"/>
              </w:rPr>
              <w:t>3</w:t>
            </w:r>
          </w:p>
        </w:tc>
      </w:tr>
      <w:tr w:rsidR="00D03E90" w14:paraId="2BB3262F" w14:textId="77777777" w:rsidTr="008468E4">
        <w:tc>
          <w:tcPr>
            <w:tcW w:w="4503" w:type="dxa"/>
          </w:tcPr>
          <w:p w14:paraId="359346D7" w14:textId="77777777" w:rsidR="00D03E90" w:rsidRPr="00D03E90" w:rsidRDefault="00D03E90" w:rsidP="00416C7B">
            <w:pPr>
              <w:rPr>
                <w:sz w:val="20"/>
                <w:szCs w:val="20"/>
              </w:rPr>
            </w:pPr>
            <w:r w:rsidRPr="00D03E90">
              <w:rPr>
                <w:sz w:val="20"/>
                <w:szCs w:val="20"/>
              </w:rPr>
              <w:t>Tuin delen</w:t>
            </w:r>
          </w:p>
        </w:tc>
        <w:tc>
          <w:tcPr>
            <w:tcW w:w="1559" w:type="dxa"/>
          </w:tcPr>
          <w:p w14:paraId="6E117215" w14:textId="77777777" w:rsidR="00D03E90" w:rsidRPr="00D03E90" w:rsidRDefault="00D03E90" w:rsidP="00D03E90">
            <w:pPr>
              <w:jc w:val="center"/>
              <w:rPr>
                <w:sz w:val="20"/>
                <w:szCs w:val="20"/>
              </w:rPr>
            </w:pPr>
            <w:r>
              <w:rPr>
                <w:sz w:val="20"/>
                <w:szCs w:val="20"/>
              </w:rPr>
              <w:t>11%</w:t>
            </w:r>
          </w:p>
        </w:tc>
        <w:tc>
          <w:tcPr>
            <w:tcW w:w="1559" w:type="dxa"/>
          </w:tcPr>
          <w:p w14:paraId="2E527083" w14:textId="268A9FBD" w:rsidR="00D03E90" w:rsidRPr="00D03E90" w:rsidRDefault="00995FAD" w:rsidP="00D03E90">
            <w:pPr>
              <w:jc w:val="center"/>
              <w:rPr>
                <w:sz w:val="20"/>
                <w:szCs w:val="20"/>
              </w:rPr>
            </w:pPr>
            <w:r>
              <w:rPr>
                <w:sz w:val="20"/>
                <w:szCs w:val="20"/>
              </w:rPr>
              <w:t>1</w:t>
            </w:r>
          </w:p>
        </w:tc>
      </w:tr>
      <w:tr w:rsidR="00D03E90" w14:paraId="08D921AD" w14:textId="77777777" w:rsidTr="008468E4">
        <w:tc>
          <w:tcPr>
            <w:tcW w:w="4503" w:type="dxa"/>
          </w:tcPr>
          <w:p w14:paraId="12CCB5B0" w14:textId="77777777" w:rsidR="00D03E90" w:rsidRPr="00D03E90" w:rsidRDefault="00D03E90" w:rsidP="00416C7B">
            <w:pPr>
              <w:rPr>
                <w:sz w:val="20"/>
                <w:szCs w:val="20"/>
              </w:rPr>
            </w:pPr>
            <w:r w:rsidRPr="00D03E90">
              <w:rPr>
                <w:sz w:val="20"/>
                <w:szCs w:val="20"/>
              </w:rPr>
              <w:t>Woning delen</w:t>
            </w:r>
          </w:p>
        </w:tc>
        <w:tc>
          <w:tcPr>
            <w:tcW w:w="1559" w:type="dxa"/>
          </w:tcPr>
          <w:p w14:paraId="5262E7E5" w14:textId="77777777" w:rsidR="00D03E90" w:rsidRPr="00D03E90" w:rsidRDefault="00D03E90" w:rsidP="00D03E90">
            <w:pPr>
              <w:jc w:val="center"/>
              <w:rPr>
                <w:sz w:val="20"/>
                <w:szCs w:val="20"/>
              </w:rPr>
            </w:pPr>
            <w:r>
              <w:rPr>
                <w:sz w:val="20"/>
                <w:szCs w:val="20"/>
              </w:rPr>
              <w:t>7%</w:t>
            </w:r>
          </w:p>
        </w:tc>
        <w:tc>
          <w:tcPr>
            <w:tcW w:w="1559" w:type="dxa"/>
          </w:tcPr>
          <w:p w14:paraId="3767168E" w14:textId="77777777" w:rsidR="00D03E90" w:rsidRPr="00D03E90" w:rsidRDefault="00D03E90" w:rsidP="00D03E90">
            <w:pPr>
              <w:jc w:val="center"/>
              <w:rPr>
                <w:sz w:val="20"/>
                <w:szCs w:val="20"/>
              </w:rPr>
            </w:pPr>
            <w:r>
              <w:rPr>
                <w:sz w:val="20"/>
                <w:szCs w:val="20"/>
              </w:rPr>
              <w:t>1</w:t>
            </w:r>
          </w:p>
        </w:tc>
      </w:tr>
    </w:tbl>
    <w:p w14:paraId="0CEDA665" w14:textId="77777777" w:rsidR="00416C7B" w:rsidRDefault="00416C7B" w:rsidP="00416C7B"/>
    <w:p w14:paraId="14151B2E" w14:textId="77777777" w:rsidR="007C18EE" w:rsidRDefault="007C18EE">
      <w:pPr>
        <w:rPr>
          <w:b/>
        </w:rPr>
      </w:pPr>
    </w:p>
    <w:p w14:paraId="3901C695" w14:textId="325F3BC5" w:rsidR="00E91055" w:rsidRPr="00135266" w:rsidRDefault="006D13C6" w:rsidP="00E91055">
      <w:pPr>
        <w:rPr>
          <w:b/>
        </w:rPr>
      </w:pPr>
      <w:r>
        <w:rPr>
          <w:b/>
        </w:rPr>
        <w:t>Leuven, met recht en rede dé Kind- en Jongerenstad</w:t>
      </w:r>
    </w:p>
    <w:p w14:paraId="15C8EC58" w14:textId="77777777" w:rsidR="0000644F" w:rsidRDefault="00E91055" w:rsidP="00E91055">
      <w:r>
        <w:t>Wat betreft het aanbod voor kinderen en jeugd scoort Leuven net als in de vorige edities uitstekend</w:t>
      </w:r>
      <w:r w:rsidRPr="00934FC3">
        <w:t xml:space="preserve">. </w:t>
      </w:r>
    </w:p>
    <w:p w14:paraId="5433FC0C" w14:textId="77777777" w:rsidR="0000644F" w:rsidRDefault="0000644F" w:rsidP="00E91055"/>
    <w:p w14:paraId="142C2616" w14:textId="581FBA1E" w:rsidR="00E91055" w:rsidRDefault="00E91055" w:rsidP="00E91055">
      <w:r w:rsidRPr="00934FC3">
        <w:t xml:space="preserve">Het </w:t>
      </w:r>
      <w:r w:rsidRPr="000E1DF7">
        <w:rPr>
          <w:u w:val="single"/>
        </w:rPr>
        <w:t>aandeel van de inwoners dat in de buurt woont van een speelruimte in de wijk</w:t>
      </w:r>
      <w:r w:rsidRPr="00934FC3">
        <w:t xml:space="preserve"> is in Leuven systematisch gestegen en </w:t>
      </w:r>
      <w:r w:rsidR="00FB6BEB">
        <w:t>bedraagt</w:t>
      </w:r>
      <w:r w:rsidRPr="00934FC3">
        <w:t xml:space="preserve"> </w:t>
      </w:r>
      <w:r w:rsidR="00FB6BEB">
        <w:t>70</w:t>
      </w:r>
      <w:r w:rsidRPr="00934FC3">
        <w:t>%. Enkel in Antwerpen</w:t>
      </w:r>
      <w:r w:rsidR="00FB6BEB">
        <w:t>, Gent</w:t>
      </w:r>
      <w:r w:rsidRPr="00934FC3">
        <w:t xml:space="preserve"> </w:t>
      </w:r>
      <w:r w:rsidR="00FB6BEB">
        <w:t>en</w:t>
      </w:r>
      <w:r w:rsidRPr="00934FC3">
        <w:t xml:space="preserve"> Turnhout ligt dit aandeel hoger. </w:t>
      </w:r>
      <w:r w:rsidR="00FB6BEB">
        <w:t>52%</w:t>
      </w:r>
      <w:r w:rsidRPr="00934FC3">
        <w:t xml:space="preserve"> van de inwoners van Leuven </w:t>
      </w:r>
      <w:r w:rsidRPr="000E1DF7">
        <w:rPr>
          <w:u w:val="single"/>
        </w:rPr>
        <w:t>bezoekt regelmatig een speeltuin of speelplein</w:t>
      </w:r>
      <w:r>
        <w:t xml:space="preserve">, </w:t>
      </w:r>
      <w:r w:rsidR="00FB6BEB">
        <w:t>na Antwerpen en Genk, het hoogste aantal.</w:t>
      </w:r>
    </w:p>
    <w:p w14:paraId="7CBDD94E" w14:textId="77777777" w:rsidR="00E91055" w:rsidRDefault="00E91055" w:rsidP="00E91055"/>
    <w:p w14:paraId="1A4671D6" w14:textId="7FAF5D4E" w:rsidR="00E91055" w:rsidRPr="00C34CBF" w:rsidRDefault="00E91055" w:rsidP="00E91055">
      <w:r w:rsidRPr="00EC1EB1">
        <w:t xml:space="preserve">De </w:t>
      </w:r>
      <w:r w:rsidRPr="000E1DF7">
        <w:rPr>
          <w:u w:val="single"/>
        </w:rPr>
        <w:t>tevredenheid over het aanbod aan speelvoorzieningen in de</w:t>
      </w:r>
      <w:r w:rsidRPr="00EC1EB1">
        <w:t xml:space="preserve"> buurt bedraagt </w:t>
      </w:r>
      <w:r w:rsidR="00274B72">
        <w:t>63</w:t>
      </w:r>
      <w:r w:rsidRPr="00EC1EB1">
        <w:t>%</w:t>
      </w:r>
      <w:r w:rsidRPr="000C019D">
        <w:t xml:space="preserve"> en</w:t>
      </w:r>
      <w:r>
        <w:t xml:space="preserve"> enkel </w:t>
      </w:r>
      <w:proofErr w:type="spellStart"/>
      <w:r>
        <w:t>Bruggelingen</w:t>
      </w:r>
      <w:proofErr w:type="spellEnd"/>
      <w:r>
        <w:t xml:space="preserve"> zijn nog meer tevreden. </w:t>
      </w:r>
      <w:r w:rsidR="00274B72">
        <w:t>58%</w:t>
      </w:r>
      <w:r w:rsidRPr="00EC1EB1">
        <w:t xml:space="preserve"> van de </w:t>
      </w:r>
      <w:r>
        <w:t xml:space="preserve">Leuvense </w:t>
      </w:r>
      <w:r w:rsidRPr="00EC1EB1">
        <w:t xml:space="preserve">inwoners </w:t>
      </w:r>
      <w:r w:rsidR="00274B72">
        <w:t xml:space="preserve">is van </w:t>
      </w:r>
      <w:r w:rsidRPr="00EC1EB1">
        <w:t xml:space="preserve">mening dat kinderen tot 12 jaar </w:t>
      </w:r>
      <w:r w:rsidRPr="000E1DF7">
        <w:rPr>
          <w:u w:val="single"/>
        </w:rPr>
        <w:t>veilig kunnen spelen in de buurt</w:t>
      </w:r>
      <w:r w:rsidRPr="00EC1EB1">
        <w:t>. Dit is</w:t>
      </w:r>
      <w:r w:rsidR="00D41667">
        <w:t xml:space="preserve"> na</w:t>
      </w:r>
      <w:r w:rsidR="00274B72">
        <w:t>, Genk en Hasselt,</w:t>
      </w:r>
      <w:r w:rsidRPr="00EC1EB1">
        <w:t xml:space="preserve"> de hoogst</w:t>
      </w:r>
      <w:r w:rsidR="00274B72">
        <w:t>e score van de 13 centrumsteden.</w:t>
      </w:r>
      <w:r w:rsidR="00D41667">
        <w:t xml:space="preserve"> Tenslotte vindt bijna de helft (48%) van de inwoners dat er voldoende activiteiten zijn voor kinderen in de buurt, ook weer de 3</w:t>
      </w:r>
      <w:r w:rsidR="00D41667" w:rsidRPr="00D41667">
        <w:rPr>
          <w:vertAlign w:val="superscript"/>
        </w:rPr>
        <w:t>de</w:t>
      </w:r>
      <w:r w:rsidR="00D41667">
        <w:t xml:space="preserve"> beste score.</w:t>
      </w:r>
    </w:p>
    <w:p w14:paraId="1B89D2D2" w14:textId="77777777" w:rsidR="00E91055" w:rsidRPr="000C019D" w:rsidRDefault="00E91055" w:rsidP="00E91055"/>
    <w:p w14:paraId="11697EFC" w14:textId="1F8DDBC9" w:rsidR="00E91055" w:rsidRDefault="00E91055" w:rsidP="00E91055">
      <w:r w:rsidRPr="00EC1EB1">
        <w:t xml:space="preserve">Leuven behaalt </w:t>
      </w:r>
      <w:r>
        <w:t xml:space="preserve">met </w:t>
      </w:r>
      <w:r w:rsidR="005F4C76">
        <w:t>59</w:t>
      </w:r>
      <w:r>
        <w:t xml:space="preserve">% </w:t>
      </w:r>
      <w:r w:rsidRPr="000E1DF7">
        <w:rPr>
          <w:u w:val="single"/>
        </w:rPr>
        <w:t xml:space="preserve">tevredenheid over geschikte plekken voor de opgroeiende jeugd (+12 jaar) in de buurt </w:t>
      </w:r>
      <w:r>
        <w:t>opnieuw</w:t>
      </w:r>
      <w:r w:rsidRPr="00EC1EB1">
        <w:t xml:space="preserve"> de beste score van de 13 centrumsteden</w:t>
      </w:r>
      <w:r>
        <w:t>.</w:t>
      </w:r>
      <w:r w:rsidRPr="00EC1EB1">
        <w:t xml:space="preserve"> </w:t>
      </w:r>
      <w:r w:rsidR="005F4C76">
        <w:t>Tevens vindt 41% van de Leuvenaars dat er voldoende activiteiten zijn voor jongeren in de buurt. 96% van de jongeren (12-</w:t>
      </w:r>
      <w:proofErr w:type="gramStart"/>
      <w:r w:rsidR="005F4C76">
        <w:t>18 jarigen</w:t>
      </w:r>
      <w:proofErr w:type="gramEnd"/>
      <w:r w:rsidR="005F4C76">
        <w:t xml:space="preserve">) woont binnen 1.000 meter loopafstand van </w:t>
      </w:r>
      <w:r w:rsidR="005F4C76" w:rsidRPr="00420EB0">
        <w:rPr>
          <w:u w:val="single"/>
        </w:rPr>
        <w:t>open jeugdruimte</w:t>
      </w:r>
      <w:r w:rsidR="005F4C76">
        <w:t xml:space="preserve">. Dit is het hoogste percentage van de centrumsteden. Voor wat betreft </w:t>
      </w:r>
      <w:r w:rsidR="005F4C76" w:rsidRPr="00420EB0">
        <w:rPr>
          <w:u w:val="single"/>
        </w:rPr>
        <w:t>overdekte jeugdruimte</w:t>
      </w:r>
      <w:r w:rsidR="005F4C76">
        <w:t xml:space="preserve"> voor jongeren, behaalt Leuven een 7</w:t>
      </w:r>
      <w:r w:rsidR="005F4C76" w:rsidRPr="005F4C76">
        <w:rPr>
          <w:vertAlign w:val="superscript"/>
        </w:rPr>
        <w:t>de</w:t>
      </w:r>
      <w:r w:rsidR="005F4C76">
        <w:t xml:space="preserve"> plaats, met 79% van de jongeren dat binnen 1.000 meter loopafstand van een overdekte jeugdruimte woont.</w:t>
      </w:r>
      <w:r w:rsidR="00455281">
        <w:t xml:space="preserve"> </w:t>
      </w:r>
      <w:r w:rsidR="005A0285">
        <w:t>Gezien de recente ontwikkelingen zoals bijvoorbeeld de uitbouw van Stelplaats en de jongerenplek in het stadhuis, zal dit aandeel ongetwijfeld in de toekomst toenemen.</w:t>
      </w:r>
    </w:p>
    <w:p w14:paraId="173941F8" w14:textId="77777777" w:rsidR="00E91055" w:rsidRDefault="00E91055" w:rsidP="00E91055"/>
    <w:p w14:paraId="08C066D1" w14:textId="0258BDB4" w:rsidR="003E0EB2" w:rsidRPr="00532C48" w:rsidRDefault="003E0EB2" w:rsidP="003E0EB2">
      <w:pPr>
        <w:rPr>
          <w:b/>
        </w:rPr>
      </w:pPr>
      <w:r>
        <w:rPr>
          <w:b/>
        </w:rPr>
        <w:t xml:space="preserve">Veel </w:t>
      </w:r>
      <w:r w:rsidR="00F15BB3">
        <w:rPr>
          <w:b/>
        </w:rPr>
        <w:t xml:space="preserve">aanbod aan voorschoolse </w:t>
      </w:r>
      <w:r>
        <w:rPr>
          <w:b/>
        </w:rPr>
        <w:t>kinderopvang</w:t>
      </w:r>
      <w:r w:rsidR="00F15BB3">
        <w:rPr>
          <w:b/>
        </w:rPr>
        <w:t>,</w:t>
      </w:r>
      <w:r>
        <w:rPr>
          <w:b/>
        </w:rPr>
        <w:t xml:space="preserve"> en toch </w:t>
      </w:r>
      <w:r w:rsidR="00F15BB3">
        <w:rPr>
          <w:b/>
        </w:rPr>
        <w:t xml:space="preserve">nog steeds </w:t>
      </w:r>
      <w:r>
        <w:rPr>
          <w:b/>
        </w:rPr>
        <w:t>nood aan meer</w:t>
      </w:r>
    </w:p>
    <w:p w14:paraId="58350EC1" w14:textId="77777777" w:rsidR="00BF75A7" w:rsidRDefault="00BF75A7" w:rsidP="003E0EB2"/>
    <w:p w14:paraId="4EFC5B29" w14:textId="283593D6" w:rsidR="005E3520" w:rsidRDefault="00F66F4C" w:rsidP="002D2597">
      <w:bookmarkStart w:id="0" w:name="_Hlk508716477"/>
      <w:r w:rsidRPr="00032899">
        <w:t xml:space="preserve">In Leuven vind je het grootste </w:t>
      </w:r>
      <w:r w:rsidRPr="00420EB0">
        <w:rPr>
          <w:u w:val="single"/>
        </w:rPr>
        <w:t>aanbod aan kinderopvangplaatsen</w:t>
      </w:r>
      <w:r w:rsidRPr="00032899">
        <w:t xml:space="preserve"> van alle centrumsteden. Voor 6</w:t>
      </w:r>
      <w:r w:rsidR="00511DE3">
        <w:t>1</w:t>
      </w:r>
      <w:r w:rsidRPr="00032899">
        <w:t>% van de 0-3-jarigen is er een plaatsje. Dit aandeel is gestegen ten opzichte van 201</w:t>
      </w:r>
      <w:r w:rsidR="00511DE3">
        <w:t>1</w:t>
      </w:r>
      <w:r w:rsidRPr="00032899">
        <w:t xml:space="preserve">. Toch is slechts 51% </w:t>
      </w:r>
      <w:r w:rsidRPr="00420EB0">
        <w:rPr>
          <w:u w:val="single"/>
        </w:rPr>
        <w:t>tevreden over het aanbod in de buurt</w:t>
      </w:r>
      <w:r w:rsidRPr="00032899">
        <w:t>. De perceptie dat er een tekort aan kinderopvangplaatsen is in Leuven lijkt hardnekkig genesteld in</w:t>
      </w:r>
      <w:r w:rsidR="004B5ED6">
        <w:t xml:space="preserve"> de hoofden van de Leuvenaars. </w:t>
      </w:r>
      <w:r w:rsidRPr="00032899">
        <w:t xml:space="preserve">Ten onrechte: </w:t>
      </w:r>
      <w:r w:rsidR="00FE2DE1">
        <w:t>straffe</w:t>
      </w:r>
      <w:r w:rsidRPr="00032899">
        <w:t xml:space="preserve"> investeringen vanuit de stad Leuven </w:t>
      </w:r>
      <w:r w:rsidR="002B4FA9">
        <w:t xml:space="preserve">in kader van het Masterplan kinderopvang </w:t>
      </w:r>
      <w:r>
        <w:t xml:space="preserve">resulteerden in </w:t>
      </w:r>
      <w:r w:rsidRPr="00032899">
        <w:t xml:space="preserve">een duidelijke stijging </w:t>
      </w:r>
      <w:r>
        <w:t>a</w:t>
      </w:r>
      <w:r w:rsidRPr="00032899">
        <w:t xml:space="preserve">an het aantal opvangplaatsen. Uiteraard is er een zeer grote nood aan opvang in Leuven. De werkzaamheidsgraad in Leuven is </w:t>
      </w:r>
      <w:r>
        <w:t xml:space="preserve">heel </w:t>
      </w:r>
      <w:r w:rsidRPr="00032899">
        <w:t>hoog, we tellen het hoogste aantal tweeverdieners en veel 50-plussers werken nog – waardoor ze de zorg van de kleinkinderen niet op zich kunnen nemen. Bovendien kunnen minder gezinnen terugvallen op familie in de buurt voor informele opvang</w:t>
      </w:r>
      <w:bookmarkEnd w:id="0"/>
      <w:r>
        <w:t>.</w:t>
      </w:r>
    </w:p>
    <w:p w14:paraId="77AF6AA1" w14:textId="77777777" w:rsidR="00F66F4C" w:rsidRDefault="00F66F4C">
      <w:pPr>
        <w:rPr>
          <w:b/>
        </w:rPr>
      </w:pPr>
    </w:p>
    <w:p w14:paraId="7BFBAC9F" w14:textId="4543B36B" w:rsidR="0095070E" w:rsidRPr="00090D02" w:rsidRDefault="00090D02" w:rsidP="002D2597">
      <w:pPr>
        <w:rPr>
          <w:b/>
        </w:rPr>
      </w:pPr>
      <w:r w:rsidRPr="00090D02">
        <w:rPr>
          <w:b/>
        </w:rPr>
        <w:t>Een aangename</w:t>
      </w:r>
      <w:r w:rsidR="00B551B5">
        <w:rPr>
          <w:b/>
        </w:rPr>
        <w:t xml:space="preserve"> wo</w:t>
      </w:r>
      <w:r w:rsidRPr="00090D02">
        <w:rPr>
          <w:b/>
        </w:rPr>
        <w:t>onstad</w:t>
      </w:r>
      <w:r w:rsidR="00820815">
        <w:rPr>
          <w:b/>
        </w:rPr>
        <w:t xml:space="preserve"> met dure woningen maar doorsnee prijzen voor appartementen</w:t>
      </w:r>
    </w:p>
    <w:p w14:paraId="011A38BE" w14:textId="77777777" w:rsidR="00C022C7" w:rsidRDefault="00C022C7" w:rsidP="00090D02"/>
    <w:p w14:paraId="65FF7091" w14:textId="77777777" w:rsidR="00C022C7" w:rsidRDefault="00C022C7" w:rsidP="00C022C7">
      <w:r>
        <w:t xml:space="preserve">Leuven scoort met 98% van bewoners die op </w:t>
      </w:r>
      <w:r w:rsidRPr="000E1DF7">
        <w:rPr>
          <w:u w:val="single"/>
        </w:rPr>
        <w:t>minder dan 400 meter van openbaar groen wonen</w:t>
      </w:r>
      <w:r>
        <w:t xml:space="preserve"> uitstekend en neemt hiermee de 3</w:t>
      </w:r>
      <w:r w:rsidRPr="00C022C7">
        <w:rPr>
          <w:vertAlign w:val="superscript"/>
        </w:rPr>
        <w:t>de</w:t>
      </w:r>
      <w:r>
        <w:t xml:space="preserve"> plaats in van de centrumsteden. </w:t>
      </w:r>
      <w:r>
        <w:rPr>
          <w:i/>
          <w:sz w:val="18"/>
          <w:szCs w:val="18"/>
        </w:rPr>
        <w:t>(</w:t>
      </w:r>
      <w:proofErr w:type="gramStart"/>
      <w:r>
        <w:rPr>
          <w:i/>
          <w:sz w:val="18"/>
          <w:szCs w:val="18"/>
        </w:rPr>
        <w:t>i</w:t>
      </w:r>
      <w:r w:rsidRPr="00C022C7">
        <w:rPr>
          <w:i/>
          <w:sz w:val="18"/>
          <w:szCs w:val="18"/>
        </w:rPr>
        <w:t>ndicator</w:t>
      </w:r>
      <w:proofErr w:type="gramEnd"/>
      <w:r w:rsidRPr="00C022C7">
        <w:rPr>
          <w:i/>
          <w:sz w:val="18"/>
          <w:szCs w:val="18"/>
        </w:rPr>
        <w:t xml:space="preserve"> op andere wijze berekend dan in 2014)</w:t>
      </w:r>
      <w:r>
        <w:t xml:space="preserve">. Net als bij vorige meting, is </w:t>
      </w:r>
      <w:r w:rsidRPr="00934FC3">
        <w:t xml:space="preserve">3 op 4 Leuvenaars </w:t>
      </w:r>
      <w:r w:rsidRPr="000E1DF7">
        <w:rPr>
          <w:u w:val="single"/>
        </w:rPr>
        <w:t>tevreden over het aanbod aan groen</w:t>
      </w:r>
      <w:r w:rsidR="00E5617A">
        <w:rPr>
          <w:u w:val="single"/>
        </w:rPr>
        <w:t xml:space="preserve"> in de stad</w:t>
      </w:r>
      <w:r w:rsidRPr="00934FC3">
        <w:t xml:space="preserve"> en </w:t>
      </w:r>
      <w:r>
        <w:t xml:space="preserve">80% </w:t>
      </w:r>
      <w:r w:rsidRPr="00934FC3">
        <w:t xml:space="preserve">vindt dat </w:t>
      </w:r>
      <w:r w:rsidR="00FE6149">
        <w:t>er</w:t>
      </w:r>
      <w:r w:rsidRPr="00934FC3">
        <w:t xml:space="preserve"> </w:t>
      </w:r>
      <w:r w:rsidRPr="000E1DF7">
        <w:rPr>
          <w:u w:val="single"/>
        </w:rPr>
        <w:t>voldoende groenaanbod</w:t>
      </w:r>
      <w:r w:rsidRPr="00934FC3">
        <w:t xml:space="preserve"> is</w:t>
      </w:r>
      <w:r w:rsidR="00FE6149">
        <w:t xml:space="preserve"> in de </w:t>
      </w:r>
      <w:r w:rsidR="0006260D">
        <w:t>buurt</w:t>
      </w:r>
      <w:r w:rsidRPr="00934FC3">
        <w:t xml:space="preserve">. </w:t>
      </w:r>
      <w:r w:rsidR="00FE6149">
        <w:t>Leuven bekleedt hiermee de 4</w:t>
      </w:r>
      <w:r w:rsidR="00FE6149" w:rsidRPr="00FE6149">
        <w:rPr>
          <w:vertAlign w:val="superscript"/>
        </w:rPr>
        <w:t>de</w:t>
      </w:r>
      <w:r w:rsidR="00FE6149">
        <w:t xml:space="preserve"> plaats van de centrumsteden.</w:t>
      </w:r>
    </w:p>
    <w:p w14:paraId="138E5694" w14:textId="77777777" w:rsidR="00C022C7" w:rsidRDefault="00C022C7" w:rsidP="00090D02"/>
    <w:p w14:paraId="189DDB0C" w14:textId="1CE902D0" w:rsidR="00884132" w:rsidRPr="003B2BE4" w:rsidRDefault="003B2BE4" w:rsidP="003B2BE4">
      <w:r w:rsidRPr="00511DE3">
        <w:t>8</w:t>
      </w:r>
      <w:r w:rsidR="00511DE3" w:rsidRPr="00511DE3">
        <w:t>8</w:t>
      </w:r>
      <w:r w:rsidRPr="00511DE3">
        <w:t xml:space="preserve">% van de inwoners heeft een positieve indruk over de </w:t>
      </w:r>
      <w:r w:rsidRPr="00511DE3">
        <w:rPr>
          <w:u w:val="single"/>
        </w:rPr>
        <w:t>netheid in de stad</w:t>
      </w:r>
      <w:r w:rsidRPr="00511DE3">
        <w:t xml:space="preserve">. Dit is </w:t>
      </w:r>
      <w:r w:rsidR="00511DE3" w:rsidRPr="00511DE3">
        <w:t xml:space="preserve">ongeveer </w:t>
      </w:r>
      <w:r w:rsidRPr="00511DE3">
        <w:t>hetzelfde aandeel als vorige meting en de 3</w:t>
      </w:r>
      <w:r w:rsidRPr="00511DE3">
        <w:rPr>
          <w:vertAlign w:val="superscript"/>
        </w:rPr>
        <w:t>de</w:t>
      </w:r>
      <w:r w:rsidRPr="00511DE3">
        <w:t xml:space="preserve"> beste score van de centrumsteden.</w:t>
      </w:r>
    </w:p>
    <w:p w14:paraId="5FF5B904" w14:textId="3A920A37" w:rsidR="00420EB0" w:rsidRDefault="00DA17BC" w:rsidP="00FE6149">
      <w:r>
        <w:t xml:space="preserve">Voor de </w:t>
      </w:r>
      <w:r w:rsidRPr="00E24857">
        <w:rPr>
          <w:u w:val="single"/>
        </w:rPr>
        <w:t>netheid in de eigen buurt</w:t>
      </w:r>
      <w:r>
        <w:t xml:space="preserve"> behaalt Leuven voor de laatste metingen (2011, 20</w:t>
      </w:r>
      <w:r w:rsidR="00511DE3">
        <w:t>1</w:t>
      </w:r>
      <w:r>
        <w:t xml:space="preserve">4 en 2017) steeds hetzelfde resultaat. </w:t>
      </w:r>
      <w:r w:rsidR="00FE6149">
        <w:t>Bijna 3 op de 4 inwoners (7</w:t>
      </w:r>
      <w:r w:rsidR="00177547">
        <w:t>1</w:t>
      </w:r>
      <w:r w:rsidR="00FE6149">
        <w:t xml:space="preserve">%) vindt dat de </w:t>
      </w:r>
      <w:r w:rsidR="00FE6149" w:rsidRPr="00420EB0">
        <w:rPr>
          <w:u w:val="single"/>
        </w:rPr>
        <w:t>straten en voetpaden</w:t>
      </w:r>
      <w:r w:rsidR="00FE6149">
        <w:t xml:space="preserve"> in </w:t>
      </w:r>
      <w:r w:rsidR="0074240A">
        <w:t>zijn</w:t>
      </w:r>
      <w:r w:rsidR="00570C33">
        <w:t xml:space="preserve"> </w:t>
      </w:r>
      <w:r w:rsidR="00FE6149">
        <w:t>buurt</w:t>
      </w:r>
      <w:r>
        <w:t xml:space="preserve"> over het algemeen netjes zijn.</w:t>
      </w:r>
      <w:r w:rsidR="00B52C9D">
        <w:t xml:space="preserve"> </w:t>
      </w:r>
    </w:p>
    <w:p w14:paraId="0F9EB2EE" w14:textId="1CF17EC0" w:rsidR="00420EB0" w:rsidRDefault="00420EB0" w:rsidP="00FE6149"/>
    <w:p w14:paraId="28A9EFA1" w14:textId="77777777" w:rsidR="00420EB0" w:rsidRDefault="00420EB0" w:rsidP="00420EB0">
      <w:r>
        <w:t xml:space="preserve">De </w:t>
      </w:r>
      <w:r w:rsidRPr="000052EE">
        <w:rPr>
          <w:u w:val="single"/>
        </w:rPr>
        <w:t>tevredenheid over de uitstraling van straten en pleine</w:t>
      </w:r>
      <w:r>
        <w:rPr>
          <w:u w:val="single"/>
        </w:rPr>
        <w:t>n</w:t>
      </w:r>
      <w:r w:rsidRPr="000052EE">
        <w:rPr>
          <w:u w:val="single"/>
        </w:rPr>
        <w:t>, parken</w:t>
      </w:r>
      <w:r>
        <w:rPr>
          <w:u w:val="single"/>
        </w:rPr>
        <w:t>,</w:t>
      </w:r>
      <w:r w:rsidRPr="000052EE">
        <w:rPr>
          <w:u w:val="single"/>
        </w:rPr>
        <w:t xml:space="preserve"> monumenten en gebouwen</w:t>
      </w:r>
      <w:r>
        <w:t xml:space="preserve"> is met 3% gestegen t.o.v. 2014. Leuven behaalt nu een score van 67%. Net zoals in 2014 doen enkel Brugge en Mechelen beter.</w:t>
      </w:r>
    </w:p>
    <w:p w14:paraId="1A5ABECB" w14:textId="77777777" w:rsidR="00420EB0" w:rsidRDefault="00420EB0" w:rsidP="00420EB0"/>
    <w:p w14:paraId="26563A47" w14:textId="77777777" w:rsidR="00420EB0" w:rsidRDefault="00420EB0" w:rsidP="00420EB0">
      <w:r>
        <w:t xml:space="preserve">Bijna de helft van de inwoners (48%) is tevreden </w:t>
      </w:r>
      <w:r w:rsidRPr="00F66F4C">
        <w:t xml:space="preserve">over de </w:t>
      </w:r>
      <w:r w:rsidRPr="00420EB0">
        <w:rPr>
          <w:u w:val="single"/>
        </w:rPr>
        <w:t>staat van de wegen</w:t>
      </w:r>
      <w:r w:rsidRPr="00F66F4C">
        <w:t xml:space="preserve">. Dit is hetzelfde resultaat als in 2014 en een gemiddelde score. De tevredenheid over de </w:t>
      </w:r>
      <w:r w:rsidRPr="00420EB0">
        <w:rPr>
          <w:u w:val="single"/>
        </w:rPr>
        <w:t>staat van de voet- en fietspaden</w:t>
      </w:r>
      <w:r w:rsidRPr="00F66F4C">
        <w:t xml:space="preserve"> is licht gedaald met 2% en scoort ook gemiddeld met 40% tevredenheid.</w:t>
      </w:r>
      <w:r>
        <w:t xml:space="preserve"> De helft van de inwoners vindt dat er </w:t>
      </w:r>
      <w:r w:rsidRPr="00420EB0">
        <w:rPr>
          <w:u w:val="single"/>
        </w:rPr>
        <w:t>voldoende parkeerplaatsen</w:t>
      </w:r>
      <w:r>
        <w:t xml:space="preserve"> voor bewoners zijn, wat een gemiddelde score is en ruim een derde (35%) vindt dat er </w:t>
      </w:r>
      <w:r w:rsidRPr="00420EB0">
        <w:rPr>
          <w:u w:val="single"/>
        </w:rPr>
        <w:t>voldoende fietsstallingen</w:t>
      </w:r>
      <w:r>
        <w:t xml:space="preserve"> zijn. Wat dan weer de 3</w:t>
      </w:r>
      <w:r w:rsidRPr="00F66F4C">
        <w:rPr>
          <w:vertAlign w:val="superscript"/>
        </w:rPr>
        <w:t>de</w:t>
      </w:r>
      <w:r>
        <w:t xml:space="preserve"> beste score van de centrumsteden is. </w:t>
      </w:r>
    </w:p>
    <w:p w14:paraId="5506890A" w14:textId="77777777" w:rsidR="00420EB0" w:rsidRPr="00F66F4C" w:rsidRDefault="00420EB0" w:rsidP="00420EB0"/>
    <w:p w14:paraId="7AE92A55" w14:textId="7C393ACF" w:rsidR="00FE6149" w:rsidRDefault="001D5677" w:rsidP="00FE6149">
      <w:r>
        <w:t>1</w:t>
      </w:r>
      <w:r w:rsidR="00177547">
        <w:t>8</w:t>
      </w:r>
      <w:r>
        <w:t xml:space="preserve">% van de Leuvenaars ervaart </w:t>
      </w:r>
      <w:r w:rsidR="00177547">
        <w:t>veel</w:t>
      </w:r>
      <w:r>
        <w:t xml:space="preserve"> </w:t>
      </w:r>
      <w:r w:rsidRPr="00420EB0">
        <w:rPr>
          <w:u w:val="single"/>
        </w:rPr>
        <w:t>hinder in zijn buurt</w:t>
      </w:r>
      <w:r w:rsidR="00177547">
        <w:t xml:space="preserve"> en 20% van de inwoners ervaart geen tot wei</w:t>
      </w:r>
      <w:r w:rsidR="00420EB0">
        <w:t>nig hinder in de buurt</w:t>
      </w:r>
      <w:r>
        <w:t>. Dit is een nieuwe samengestelde indicator gebaseerd op 16 mogelijke buurtproblemen die in de bevraging werd voorgelegd, zoals snel rijden, agressief verkeersgedrag, lawaai, lastiggevallen op straat, vandalisme, graffiti, zwerfvuil, ongedierte, wildplassen, honden</w:t>
      </w:r>
      <w:r w:rsidR="00177547">
        <w:t>poep en drugs.  Enkel in Brugge en</w:t>
      </w:r>
      <w:r>
        <w:t xml:space="preserve"> Kortrijk wordt minder hinder ervaren.</w:t>
      </w:r>
      <w:r w:rsidR="00177547">
        <w:t xml:space="preserve"> Wat betreft de 16 mogelijke buurtproblemen die hinder kunnen oplevere</w:t>
      </w:r>
      <w:r w:rsidR="004279AC">
        <w:t xml:space="preserve">n scoort Leuven altijd onder het gemiddelde hinderniveau van de 13 centrumsteden. Dit met uitzondering van volgende problemen: 8% van Leuvense inwoners </w:t>
      </w:r>
      <w:r w:rsidR="004279AC">
        <w:lastRenderedPageBreak/>
        <w:t xml:space="preserve">ervaarde </w:t>
      </w:r>
      <w:r w:rsidR="004279AC" w:rsidRPr="00420EB0">
        <w:rPr>
          <w:u w:val="single"/>
        </w:rPr>
        <w:t>lichthinder</w:t>
      </w:r>
      <w:r w:rsidR="004279AC">
        <w:t xml:space="preserve"> (7% gemiddeld</w:t>
      </w:r>
      <w:r w:rsidR="00420EB0">
        <w:t>)</w:t>
      </w:r>
      <w:r w:rsidR="004279AC">
        <w:t xml:space="preserve"> en 30% ervaarde hinder ten gevolge van </w:t>
      </w:r>
      <w:r w:rsidR="004279AC" w:rsidRPr="00420EB0">
        <w:rPr>
          <w:u w:val="single"/>
        </w:rPr>
        <w:t xml:space="preserve">sluipverkeer </w:t>
      </w:r>
      <w:r w:rsidR="004279AC">
        <w:t>(27% gemiddeld) in de maand voorafgaand aan de bevraging.</w:t>
      </w:r>
    </w:p>
    <w:p w14:paraId="5E09E9F3" w14:textId="77777777" w:rsidR="00FE6149" w:rsidRPr="00934FC3" w:rsidRDefault="00FE6149" w:rsidP="00090D02"/>
    <w:p w14:paraId="5C0F4D15" w14:textId="65C2D0BC" w:rsidR="002066AB" w:rsidRDefault="00F66F4C" w:rsidP="00F66F4C">
      <w:r w:rsidRPr="00F66F4C">
        <w:t xml:space="preserve">Drie vierde van de Leuvenaars is tevreden over </w:t>
      </w:r>
      <w:r w:rsidRPr="00420EB0">
        <w:rPr>
          <w:u w:val="single"/>
        </w:rPr>
        <w:t>winkelvoorzieningen in de eigen buurt</w:t>
      </w:r>
      <w:r w:rsidRPr="00F66F4C">
        <w:t>. Dit is een l</w:t>
      </w:r>
      <w:r w:rsidR="00570C33">
        <w:t>ichte daling van 2%. De scores van de centrumsteden liggen voor dit aspect allemaal zeer dicht bij elkaar en variëren van</w:t>
      </w:r>
      <w:r w:rsidRPr="00F66F4C">
        <w:t xml:space="preserve"> 86%</w:t>
      </w:r>
      <w:r w:rsidR="00570C33">
        <w:t xml:space="preserve"> tot </w:t>
      </w:r>
      <w:r w:rsidRPr="00F66F4C">
        <w:t xml:space="preserve">72%. De binnenstedelijke verschillen zijn groter dan de verschillen tussen de steden. In Leuven zijn de binnenstedelijke verschillen niet groot: </w:t>
      </w:r>
      <w:r w:rsidR="00570C33">
        <w:t>de hoogste tevredenheidsscore voor winkelvoorzieningen in de eigen buurt is</w:t>
      </w:r>
      <w:r w:rsidRPr="00F66F4C">
        <w:t xml:space="preserve"> 86% en </w:t>
      </w:r>
      <w:r w:rsidR="00570C33">
        <w:t>de laagste score 60%</w:t>
      </w:r>
      <w:r w:rsidRPr="00F66F4C">
        <w:t>.</w:t>
      </w:r>
      <w:r w:rsidR="00570C33">
        <w:t xml:space="preserve"> </w:t>
      </w:r>
    </w:p>
    <w:p w14:paraId="7DCEACC3" w14:textId="7CC6A754" w:rsidR="00350776" w:rsidRDefault="00350776" w:rsidP="00F66F4C"/>
    <w:p w14:paraId="6C0E3055" w14:textId="5BD13098" w:rsidR="00350776" w:rsidRDefault="00350776" w:rsidP="00F66F4C">
      <w:r>
        <w:t xml:space="preserve">De tevredenheid over het </w:t>
      </w:r>
      <w:r w:rsidRPr="00420EB0">
        <w:rPr>
          <w:u w:val="single"/>
        </w:rPr>
        <w:t>aanbod aan kleuter- en lager onderwijs</w:t>
      </w:r>
      <w:r>
        <w:t xml:space="preserve"> </w:t>
      </w:r>
      <w:r w:rsidR="00420EB0" w:rsidRPr="00420EB0">
        <w:rPr>
          <w:u w:val="single"/>
        </w:rPr>
        <w:t>in de buurt</w:t>
      </w:r>
      <w:r w:rsidR="00420EB0">
        <w:t xml:space="preserve"> </w:t>
      </w:r>
      <w:r>
        <w:t xml:space="preserve">is gestegen van 79% naar 82%. </w:t>
      </w:r>
      <w:r w:rsidR="00C94D97">
        <w:t>De inspanningen van de laatste jaren om de capaciteit in het kleuter</w:t>
      </w:r>
      <w:r w:rsidR="00420EB0">
        <w:t>-</w:t>
      </w:r>
      <w:r w:rsidR="00C94D97">
        <w:t xml:space="preserve"> en lager onderwijs te verhogen, hebben dus geleid tot een hogere tevredenheid.</w:t>
      </w:r>
    </w:p>
    <w:p w14:paraId="5662C83D" w14:textId="77777777" w:rsidR="002066AB" w:rsidRDefault="002066AB" w:rsidP="00F66F4C"/>
    <w:p w14:paraId="745C2B01" w14:textId="520CF6BE" w:rsidR="00F66F4C" w:rsidRPr="00F66F4C" w:rsidRDefault="00570C33" w:rsidP="00F66F4C">
      <w:r>
        <w:t>Voor al deze buurtgebonden aspecten is het interessant om de binnenstedelijke verschillen tussen de 8 bevraagde gebieden in detail te bekijken om hieruit per stadsdeel de gepaste conclusies te trekken.</w:t>
      </w:r>
    </w:p>
    <w:p w14:paraId="69945B0A" w14:textId="77777777" w:rsidR="00F66F4C" w:rsidRDefault="00F66F4C" w:rsidP="002D2597"/>
    <w:p w14:paraId="0E1EFDEC" w14:textId="4C69675F" w:rsidR="004710B0" w:rsidRDefault="0066491D" w:rsidP="002D2597">
      <w:r w:rsidRPr="008213FC">
        <w:t>De</w:t>
      </w:r>
      <w:r w:rsidR="000052EE" w:rsidRPr="008213FC">
        <w:t xml:space="preserve"> </w:t>
      </w:r>
      <w:r w:rsidR="000052EE" w:rsidRPr="008213FC">
        <w:rPr>
          <w:u w:val="single"/>
        </w:rPr>
        <w:t xml:space="preserve">gemiddelde </w:t>
      </w:r>
      <w:r w:rsidRPr="008213FC">
        <w:rPr>
          <w:u w:val="single"/>
        </w:rPr>
        <w:t>prijs voor een woonhuis</w:t>
      </w:r>
      <w:r w:rsidRPr="008213FC">
        <w:t xml:space="preserve"> lag in</w:t>
      </w:r>
      <w:r w:rsidR="00AB527C" w:rsidRPr="008213FC">
        <w:t xml:space="preserve"> 2016</w:t>
      </w:r>
      <w:r w:rsidRPr="008213FC">
        <w:t xml:space="preserve"> op </w:t>
      </w:r>
      <w:r w:rsidR="004710B0" w:rsidRPr="008213FC">
        <w:t>33</w:t>
      </w:r>
      <w:r w:rsidR="004072F8" w:rsidRPr="008213FC">
        <w:t>3</w:t>
      </w:r>
      <w:r w:rsidR="004710B0" w:rsidRPr="008213FC">
        <w:t>.000</w:t>
      </w:r>
      <w:r w:rsidR="00AB527C" w:rsidRPr="008213FC">
        <w:t xml:space="preserve"> euro</w:t>
      </w:r>
      <w:r w:rsidRPr="008213FC">
        <w:t>. Leuven blijft da</w:t>
      </w:r>
      <w:r w:rsidR="0044766D" w:rsidRPr="008213FC">
        <w:t>armee de duurste markt voor een</w:t>
      </w:r>
      <w:r w:rsidRPr="008213FC">
        <w:t xml:space="preserve">gezinswoningen in de Vlaamse centrumsteden. </w:t>
      </w:r>
      <w:r w:rsidR="004710B0" w:rsidRPr="008213FC">
        <w:t xml:space="preserve">Een woonhuis kost in Leuven gemiddeld 70.000 euro </w:t>
      </w:r>
      <w:r w:rsidR="00103C1D" w:rsidRPr="008213FC">
        <w:t xml:space="preserve">meer </w:t>
      </w:r>
      <w:r w:rsidR="004710B0" w:rsidRPr="008213FC">
        <w:t xml:space="preserve">dan in Gent, de tweede duurste centrumstad voor woonhuizen. </w:t>
      </w:r>
      <w:r w:rsidR="00AA1925" w:rsidRPr="008213FC">
        <w:t>De</w:t>
      </w:r>
      <w:r w:rsidRPr="008213FC">
        <w:t xml:space="preserve"> </w:t>
      </w:r>
      <w:r w:rsidRPr="00420EB0">
        <w:rPr>
          <w:u w:val="single"/>
        </w:rPr>
        <w:t xml:space="preserve">gemiddelde prijs van een </w:t>
      </w:r>
      <w:r w:rsidR="00415FBC" w:rsidRPr="00420EB0">
        <w:rPr>
          <w:u w:val="single"/>
        </w:rPr>
        <w:t>appartement</w:t>
      </w:r>
      <w:r w:rsidRPr="008213FC">
        <w:t xml:space="preserve"> bedroeg </w:t>
      </w:r>
      <w:r w:rsidR="004710B0" w:rsidRPr="008213FC">
        <w:t xml:space="preserve">230.000 euro. </w:t>
      </w:r>
      <w:r w:rsidR="008213FC">
        <w:t xml:space="preserve">Hiermee is de kostprijs van een appartement in </w:t>
      </w:r>
      <w:r w:rsidR="008213FC" w:rsidRPr="008213FC">
        <w:t>Leuven</w:t>
      </w:r>
      <w:r w:rsidR="008213FC">
        <w:t>, ne</w:t>
      </w:r>
      <w:r w:rsidR="008213FC" w:rsidRPr="008213FC">
        <w:t>t als in 2012,</w:t>
      </w:r>
      <w:r w:rsidR="008213FC">
        <w:t xml:space="preserve"> gemiddeld in vergelijking met de 13 centrumsteden en het Vlaamse Gewest. In Gent, Aalst, Brugge en Roeselare ligt de gemiddelde kostprijs voor een appartement significant hoger. </w:t>
      </w:r>
      <w:r w:rsidR="004710B0" w:rsidRPr="008213FC">
        <w:t xml:space="preserve"> Dit heeft ongetwijfeld te maken</w:t>
      </w:r>
      <w:r w:rsidR="008213FC">
        <w:t xml:space="preserve"> met het feit </w:t>
      </w:r>
      <w:r w:rsidR="004710B0" w:rsidRPr="008213FC">
        <w:t xml:space="preserve">dat het </w:t>
      </w:r>
      <w:r w:rsidR="004710B0" w:rsidRPr="00420EB0">
        <w:rPr>
          <w:u w:val="single"/>
        </w:rPr>
        <w:t xml:space="preserve">aanbod aan </w:t>
      </w:r>
      <w:r w:rsidR="00415FBC" w:rsidRPr="00420EB0">
        <w:rPr>
          <w:u w:val="single"/>
        </w:rPr>
        <w:t>appartementen</w:t>
      </w:r>
      <w:r w:rsidR="004710B0" w:rsidRPr="00420EB0">
        <w:rPr>
          <w:u w:val="single"/>
        </w:rPr>
        <w:t xml:space="preserve"> </w:t>
      </w:r>
      <w:r w:rsidR="004710B0" w:rsidRPr="008213FC">
        <w:t xml:space="preserve">in Leuven hoog is. Namelijk 49% van het woonaanbod in 2017 bestaat uit </w:t>
      </w:r>
      <w:r w:rsidR="00415FBC" w:rsidRPr="008213FC">
        <w:t>appartementen</w:t>
      </w:r>
      <w:r w:rsidR="004710B0" w:rsidRPr="008213FC">
        <w:t>. Na Oostende en Antwerpen is dit het hoogste aandeel van de centrumsteden. Het aanbod aan woonhuizen is in vergelijking met andere centrumsteden laag: 27% huizen in gesloten bebouwing (11</w:t>
      </w:r>
      <w:r w:rsidR="004710B0" w:rsidRPr="008213FC">
        <w:rPr>
          <w:vertAlign w:val="superscript"/>
        </w:rPr>
        <w:t>de</w:t>
      </w:r>
      <w:r w:rsidR="004710B0" w:rsidRPr="008213FC">
        <w:t xml:space="preserve"> plaats), 11 % huizen in halfopen bebouwing (10</w:t>
      </w:r>
      <w:r w:rsidR="004710B0" w:rsidRPr="008213FC">
        <w:rPr>
          <w:vertAlign w:val="superscript"/>
        </w:rPr>
        <w:t>de</w:t>
      </w:r>
      <w:r w:rsidR="004710B0" w:rsidRPr="008213FC">
        <w:t xml:space="preserve"> plaats) en 9 % huizen in open bebouwing (11</w:t>
      </w:r>
      <w:r w:rsidR="004710B0" w:rsidRPr="008213FC">
        <w:rPr>
          <w:vertAlign w:val="superscript"/>
        </w:rPr>
        <w:t>de</w:t>
      </w:r>
      <w:r w:rsidR="004710B0" w:rsidRPr="008213FC">
        <w:t xml:space="preserve"> plaats).</w:t>
      </w:r>
    </w:p>
    <w:p w14:paraId="55FFFB42" w14:textId="77777777" w:rsidR="004710B0" w:rsidRDefault="004710B0" w:rsidP="002D2597"/>
    <w:p w14:paraId="75C3CF62" w14:textId="39C57F44" w:rsidR="008213FC" w:rsidRDefault="008213FC" w:rsidP="00415FBC">
      <w:r>
        <w:t xml:space="preserve">De gemiddelde </w:t>
      </w:r>
      <w:r w:rsidRPr="00420EB0">
        <w:rPr>
          <w:u w:val="single"/>
        </w:rPr>
        <w:t xml:space="preserve">woonquote </w:t>
      </w:r>
      <w:r>
        <w:t xml:space="preserve">in Leuven bedraagt 20%. Dit betekent dat in 2017 de inwoners in Leuven gemiddeld 20% van hun inkomen besteden aan wonen, wat na Antwerpen het hoogste percentage is.  Een vierde van de inwoners besteedt meer dan 30% van </w:t>
      </w:r>
      <w:r w:rsidR="000849E2">
        <w:t xml:space="preserve">het totale gezinsinkomen aan wonen. Dit is, na Antwerpen, ook het hoogste aandeel van de centrumsteden. </w:t>
      </w:r>
    </w:p>
    <w:p w14:paraId="270A3538" w14:textId="77777777" w:rsidR="000676B6" w:rsidRDefault="000676B6" w:rsidP="00415FBC"/>
    <w:p w14:paraId="1D07BB4B" w14:textId="7E5F3F3E" w:rsidR="00415FBC" w:rsidRDefault="00415FBC" w:rsidP="00415FBC">
      <w:r>
        <w:t xml:space="preserve">Het </w:t>
      </w:r>
      <w:r>
        <w:rPr>
          <w:u w:val="single"/>
        </w:rPr>
        <w:t>percentage</w:t>
      </w:r>
      <w:r w:rsidRPr="0066491D">
        <w:rPr>
          <w:u w:val="single"/>
        </w:rPr>
        <w:t xml:space="preserve"> van de bevolking dat voor huur of afbetaling</w:t>
      </w:r>
      <w:r>
        <w:rPr>
          <w:u w:val="single"/>
        </w:rPr>
        <w:t xml:space="preserve"> woonkrediet in de survey</w:t>
      </w:r>
      <w:r w:rsidRPr="0066491D">
        <w:rPr>
          <w:u w:val="single"/>
        </w:rPr>
        <w:t xml:space="preserve"> betalingsmoeilijkheden</w:t>
      </w:r>
      <w:r>
        <w:t xml:space="preserve"> rapporteerde is licht gedaald naar 4% van de huishoudens, het niveau van 2011. In Leuven wordt samen met drie andere steden (Brugge, Hasselt en Kortrijk) het minste betalingsmoeilijkheden gerapporteerd.</w:t>
      </w:r>
    </w:p>
    <w:p w14:paraId="228715F4" w14:textId="77777777" w:rsidR="003403A9" w:rsidRDefault="003403A9" w:rsidP="002D2597"/>
    <w:p w14:paraId="14239712" w14:textId="4D7A66FD" w:rsidR="004E1A04" w:rsidRDefault="002E436C" w:rsidP="002D2597">
      <w:r>
        <w:t xml:space="preserve">De </w:t>
      </w:r>
      <w:r w:rsidRPr="002E436C">
        <w:rPr>
          <w:u w:val="single"/>
        </w:rPr>
        <w:t>verhuisintentie</w:t>
      </w:r>
      <w:r>
        <w:t xml:space="preserve"> </w:t>
      </w:r>
      <w:r w:rsidR="000676B6">
        <w:t xml:space="preserve">(het aandeel van inwoners dat de intentie heeft om binnen de komende 5 jaar te verhuizen) </w:t>
      </w:r>
      <w:r>
        <w:t>ligt</w:t>
      </w:r>
      <w:r w:rsidR="004E1A04">
        <w:t>, samen met Antwerpen,</w:t>
      </w:r>
      <w:r>
        <w:t xml:space="preserve"> het hoogst in Leuven</w:t>
      </w:r>
      <w:r w:rsidR="004E1A04">
        <w:t xml:space="preserve"> (35%)</w:t>
      </w:r>
      <w:r>
        <w:t>, gevolgd door Gent</w:t>
      </w:r>
      <w:r w:rsidR="004E1A04">
        <w:t xml:space="preserve"> (34%)</w:t>
      </w:r>
      <w:r>
        <w:t xml:space="preserve">. </w:t>
      </w:r>
      <w:r w:rsidR="000676B6">
        <w:t xml:space="preserve">20% van de inwoners wil verhuizen naar een andere woonst in Leuven en 15% naar een andere stad of gemeente. </w:t>
      </w:r>
    </w:p>
    <w:p w14:paraId="3C00FB1B" w14:textId="77777777" w:rsidR="000676B6" w:rsidRDefault="000676B6" w:rsidP="002D2597"/>
    <w:p w14:paraId="43C0CC91" w14:textId="77777777" w:rsidR="006E5C3B" w:rsidRDefault="006E5C3B" w:rsidP="002D2597">
      <w:pPr>
        <w:rPr>
          <w:b/>
        </w:rPr>
      </w:pPr>
    </w:p>
    <w:p w14:paraId="1E196B6D" w14:textId="03F0B0F1" w:rsidR="00090E63" w:rsidRDefault="00066CD7" w:rsidP="002D2597">
      <w:pPr>
        <w:rPr>
          <w:b/>
        </w:rPr>
      </w:pPr>
      <w:r>
        <w:rPr>
          <w:b/>
        </w:rPr>
        <w:t>Leuven, belangrijke trekpleister voor vrije tijd, school en werk</w:t>
      </w:r>
    </w:p>
    <w:p w14:paraId="02A32783" w14:textId="77777777" w:rsidR="00090E63" w:rsidRDefault="00090E63" w:rsidP="002D2597"/>
    <w:p w14:paraId="06694C4C" w14:textId="06A0B3A5" w:rsidR="00FE7D4D" w:rsidRDefault="00FE7D4D" w:rsidP="00FE7D4D">
      <w:pPr>
        <w:rPr>
          <w:szCs w:val="20"/>
        </w:rPr>
      </w:pPr>
      <w:r>
        <w:rPr>
          <w:szCs w:val="20"/>
        </w:rPr>
        <w:t xml:space="preserve">Leuven is een belangrijke </w:t>
      </w:r>
      <w:r w:rsidRPr="00420EB0">
        <w:rPr>
          <w:szCs w:val="20"/>
          <w:u w:val="single"/>
        </w:rPr>
        <w:t>trekpleister op vlak van cultuur</w:t>
      </w:r>
      <w:r>
        <w:rPr>
          <w:szCs w:val="20"/>
        </w:rPr>
        <w:t xml:space="preserve">. 38% van de bezoekers aan de Leuvense bibliotheek woont niet in Leuven, alsook 51% van de bezoekers aan de </w:t>
      </w:r>
      <w:r w:rsidR="00066CD7">
        <w:rPr>
          <w:szCs w:val="20"/>
        </w:rPr>
        <w:t xml:space="preserve">Leuvense </w:t>
      </w:r>
      <w:r>
        <w:rPr>
          <w:szCs w:val="20"/>
        </w:rPr>
        <w:t xml:space="preserve">culturele centra. </w:t>
      </w:r>
    </w:p>
    <w:p w14:paraId="7E179AC6" w14:textId="77777777" w:rsidR="00FE7D4D" w:rsidRDefault="00FE7D4D" w:rsidP="00FE7D4D">
      <w:pPr>
        <w:rPr>
          <w:szCs w:val="20"/>
        </w:rPr>
      </w:pPr>
    </w:p>
    <w:p w14:paraId="2AF1CF7B" w14:textId="78821248" w:rsidR="0061386B" w:rsidRDefault="00FE7D4D" w:rsidP="00FE7D4D">
      <w:pPr>
        <w:rPr>
          <w:szCs w:val="20"/>
        </w:rPr>
      </w:pPr>
      <w:r>
        <w:rPr>
          <w:szCs w:val="20"/>
        </w:rPr>
        <w:t>De a</w:t>
      </w:r>
      <w:r w:rsidRPr="00FE7D4D">
        <w:rPr>
          <w:szCs w:val="20"/>
          <w:u w:val="single"/>
        </w:rPr>
        <w:t xml:space="preserve">antrekkingskracht </w:t>
      </w:r>
      <w:r>
        <w:rPr>
          <w:szCs w:val="20"/>
          <w:u w:val="single"/>
        </w:rPr>
        <w:t xml:space="preserve">van het </w:t>
      </w:r>
      <w:r w:rsidRPr="00FE7D4D">
        <w:rPr>
          <w:szCs w:val="20"/>
          <w:u w:val="single"/>
        </w:rPr>
        <w:t>secundair onderwijs</w:t>
      </w:r>
      <w:r>
        <w:rPr>
          <w:szCs w:val="20"/>
        </w:rPr>
        <w:t xml:space="preserve"> is in Leuven heel hoog en bedraagt </w:t>
      </w:r>
      <w:r w:rsidRPr="00FE7D4D">
        <w:rPr>
          <w:szCs w:val="20"/>
        </w:rPr>
        <w:t>243%</w:t>
      </w:r>
      <w:r w:rsidR="00FA4F7B">
        <w:rPr>
          <w:szCs w:val="20"/>
        </w:rPr>
        <w:t>.</w:t>
      </w:r>
      <w:r w:rsidRPr="00FE7D4D">
        <w:rPr>
          <w:szCs w:val="20"/>
        </w:rPr>
        <w:t xml:space="preserve"> Enkel Turnhout scoort</w:t>
      </w:r>
      <w:r>
        <w:rPr>
          <w:szCs w:val="20"/>
        </w:rPr>
        <w:t xml:space="preserve"> nog</w:t>
      </w:r>
      <w:r w:rsidRPr="00FE7D4D">
        <w:rPr>
          <w:szCs w:val="20"/>
        </w:rPr>
        <w:t xml:space="preserve"> hoger.</w:t>
      </w:r>
    </w:p>
    <w:p w14:paraId="0197FF10" w14:textId="3F20BB8A" w:rsidR="00FE7D4D" w:rsidRDefault="00FE7D4D" w:rsidP="00FE7D4D">
      <w:pPr>
        <w:rPr>
          <w:szCs w:val="20"/>
        </w:rPr>
      </w:pPr>
    </w:p>
    <w:p w14:paraId="3000ED89" w14:textId="330CACC8" w:rsidR="00FE7D4D" w:rsidRDefault="00FE7D4D" w:rsidP="00FE7D4D">
      <w:r>
        <w:t>Leuven behaalt een gemiddelde score (6</w:t>
      </w:r>
      <w:r w:rsidRPr="00701944">
        <w:rPr>
          <w:vertAlign w:val="superscript"/>
        </w:rPr>
        <w:t>de</w:t>
      </w:r>
      <w:r>
        <w:t xml:space="preserve"> plaats) voor d</w:t>
      </w:r>
      <w:r w:rsidRPr="00B84778">
        <w:t xml:space="preserve">e </w:t>
      </w:r>
      <w:r w:rsidRPr="00B84778">
        <w:rPr>
          <w:u w:val="single"/>
        </w:rPr>
        <w:t>tevredenheid over het aanbod aan shopping- en winkelvoorzieningen</w:t>
      </w:r>
      <w:r>
        <w:t xml:space="preserve"> in de stad, namelijk 87%. </w:t>
      </w:r>
      <w:r w:rsidR="00066CD7">
        <w:t>Alhoewel d</w:t>
      </w:r>
      <w:r>
        <w:t>e tevredenheid</w:t>
      </w:r>
      <w:r w:rsidR="00066CD7">
        <w:t xml:space="preserve"> over het aanbod aan shopping- en winkelvoorzieningen in de stad </w:t>
      </w:r>
      <w:r>
        <w:t xml:space="preserve">licht </w:t>
      </w:r>
      <w:r w:rsidR="00066CD7">
        <w:t xml:space="preserve">is </w:t>
      </w:r>
      <w:r>
        <w:t>gedaald</w:t>
      </w:r>
      <w:r w:rsidR="00066CD7">
        <w:t xml:space="preserve">, behaalt Leuven hier een mooie tevredenheidsscore die niet veel afwijkt van de </w:t>
      </w:r>
      <w:r>
        <w:t>hoogste score van de centrumsteden</w:t>
      </w:r>
      <w:r w:rsidR="00066CD7">
        <w:t xml:space="preserve"> (92%).</w:t>
      </w:r>
      <w:r>
        <w:t xml:space="preserve"> </w:t>
      </w:r>
    </w:p>
    <w:p w14:paraId="084D49C7" w14:textId="0989A516" w:rsidR="00472B48" w:rsidRDefault="00472B48" w:rsidP="00FE7D4D"/>
    <w:p w14:paraId="008F04C7" w14:textId="0FDF3DBE" w:rsidR="00C966A1" w:rsidRDefault="00C966A1" w:rsidP="00FE7D4D">
      <w:r>
        <w:t xml:space="preserve">Ook in deze editie behaalt Leuven een topscore op vlak van tevredenheid over het </w:t>
      </w:r>
      <w:r w:rsidRPr="00420EB0">
        <w:rPr>
          <w:u w:val="single"/>
        </w:rPr>
        <w:t>aanbod aan uitgaansgelegenheden</w:t>
      </w:r>
      <w:r>
        <w:t xml:space="preserve"> (87%) en </w:t>
      </w:r>
      <w:r w:rsidRPr="00420EB0">
        <w:rPr>
          <w:u w:val="single"/>
        </w:rPr>
        <w:t>restaurants en eetcafés</w:t>
      </w:r>
      <w:r>
        <w:t xml:space="preserve"> (93%).</w:t>
      </w:r>
    </w:p>
    <w:p w14:paraId="52E2C202" w14:textId="6039BA57" w:rsidR="00FE7D4D" w:rsidRDefault="00FE7D4D" w:rsidP="00FE7D4D">
      <w:pPr>
        <w:rPr>
          <w:szCs w:val="20"/>
        </w:rPr>
      </w:pPr>
    </w:p>
    <w:p w14:paraId="3077AD5F" w14:textId="0EB2E054" w:rsidR="00066CD7" w:rsidRDefault="00066CD7" w:rsidP="00066CD7">
      <w:r>
        <w:t xml:space="preserve">De </w:t>
      </w:r>
      <w:proofErr w:type="spellStart"/>
      <w:r w:rsidRPr="00DD6759">
        <w:rPr>
          <w:u w:val="single"/>
        </w:rPr>
        <w:t>jobratio</w:t>
      </w:r>
      <w:proofErr w:type="spellEnd"/>
      <w:r>
        <w:t xml:space="preserve"> (aantal tewerkstellingsplaatsen op de potentieel actieve bevolking tussen 15-64 jaar) is met 128% in 2015 nog gestegen t.o.v. 2012 en blijft uitermate hoog, en het hoogste van alle steden. </w:t>
      </w:r>
    </w:p>
    <w:p w14:paraId="550B603B" w14:textId="77777777" w:rsidR="00066CD7" w:rsidRDefault="00066CD7" w:rsidP="00FE7D4D"/>
    <w:p w14:paraId="3E6BF61C" w14:textId="58CEB847" w:rsidR="00FE7D4D" w:rsidRDefault="00066CD7" w:rsidP="00FE7D4D">
      <w:r>
        <w:t xml:space="preserve">Een hoge </w:t>
      </w:r>
      <w:proofErr w:type="spellStart"/>
      <w:r>
        <w:t>jobratio</w:t>
      </w:r>
      <w:proofErr w:type="spellEnd"/>
      <w:r>
        <w:t xml:space="preserve"> trekt natuurlijk ook veel werknemers aan. De</w:t>
      </w:r>
      <w:r w:rsidR="00FE7D4D">
        <w:t xml:space="preserve"> </w:t>
      </w:r>
      <w:r w:rsidR="00FE7D4D" w:rsidRPr="00DD6759">
        <w:rPr>
          <w:u w:val="single"/>
        </w:rPr>
        <w:t>inkomende pendel</w:t>
      </w:r>
      <w:r w:rsidR="00FE7D4D">
        <w:rPr>
          <w:u w:val="single"/>
        </w:rPr>
        <w:t xml:space="preserve"> (bezoldigde werknemers met woonplaats buiten Leuven op het </w:t>
      </w:r>
      <w:proofErr w:type="gramStart"/>
      <w:r w:rsidR="00FE7D4D">
        <w:rPr>
          <w:u w:val="single"/>
        </w:rPr>
        <w:t>totaal aantal</w:t>
      </w:r>
      <w:proofErr w:type="gramEnd"/>
      <w:r w:rsidR="00FE7D4D">
        <w:rPr>
          <w:u w:val="single"/>
        </w:rPr>
        <w:t xml:space="preserve"> bezoldigde werknemers dat werkt op het grondgebied van de stad)</w:t>
      </w:r>
      <w:r w:rsidR="00FE7D4D">
        <w:t xml:space="preserve"> </w:t>
      </w:r>
      <w:r>
        <w:t xml:space="preserve">is dan ook hoog en bedraagt in </w:t>
      </w:r>
      <w:r w:rsidR="00FE7D4D">
        <w:t>2015 73% van de werknemers: zij werken in Leuven maar wonen er niet. Leuven heeft al jaren ongeveer dezelfde inkomende pendel van werknemers. Enkel Mechelen en Hasselt scoren in 2015 nog iets hoger.</w:t>
      </w:r>
    </w:p>
    <w:p w14:paraId="21AE7FDD" w14:textId="77777777" w:rsidR="00FE7D4D" w:rsidRPr="00FE7D4D" w:rsidRDefault="00FE7D4D" w:rsidP="00FE7D4D">
      <w:pPr>
        <w:rPr>
          <w:szCs w:val="20"/>
        </w:rPr>
      </w:pPr>
    </w:p>
    <w:p w14:paraId="1F436846" w14:textId="77777777" w:rsidR="00B84778" w:rsidRDefault="00B84778" w:rsidP="000E2D32">
      <w:pPr>
        <w:rPr>
          <w:b/>
        </w:rPr>
      </w:pPr>
    </w:p>
    <w:p w14:paraId="78040724" w14:textId="21D591E0" w:rsidR="000E2D32" w:rsidRPr="000E2D32" w:rsidRDefault="00CE34FD" w:rsidP="000E2D32">
      <w:pPr>
        <w:rPr>
          <w:b/>
        </w:rPr>
      </w:pPr>
      <w:r>
        <w:rPr>
          <w:b/>
        </w:rPr>
        <w:t>Zeer hoge werkzaamheid</w:t>
      </w:r>
      <w:r w:rsidR="00066CD7">
        <w:rPr>
          <w:b/>
        </w:rPr>
        <w:t xml:space="preserve"> en toegevoegde waarde</w:t>
      </w:r>
      <w:r>
        <w:rPr>
          <w:b/>
        </w:rPr>
        <w:t>, lage werkloosheid</w:t>
      </w:r>
    </w:p>
    <w:p w14:paraId="4D92D561" w14:textId="77777777" w:rsidR="007D049B" w:rsidRDefault="007D049B" w:rsidP="000E2D32"/>
    <w:p w14:paraId="1510DA42" w14:textId="57377340" w:rsidR="00F66BD2" w:rsidRDefault="00F66BD2" w:rsidP="00F66BD2">
      <w:r>
        <w:t xml:space="preserve">De </w:t>
      </w:r>
      <w:r w:rsidRPr="00CE34FD">
        <w:rPr>
          <w:u w:val="single"/>
        </w:rPr>
        <w:t>werkzaamheidsgraad</w:t>
      </w:r>
      <w:r>
        <w:t xml:space="preserve"> (aandeel werkenden in verhouding tot de bevolking 20-64 jaar) is, in 2016, gemiddeld met 69</w:t>
      </w:r>
      <w:r w:rsidRPr="00CD6FA7">
        <w:t xml:space="preserve">%. Als we de werkzaamheidsgraad van enkel de Belgen bekijken, scoort Leuven dan weer het hoogste met </w:t>
      </w:r>
      <w:r w:rsidR="00CD6FA7" w:rsidRPr="00CD6FA7">
        <w:t>77</w:t>
      </w:r>
      <w:r w:rsidRPr="00CD6FA7">
        <w:t>%. Het verschil tussen de werkzaamheidsgraad van enkel Belgen, tegenover die van de hele bevolking, heeft te maken met het hoge aantal gedomicilieerde buitenlandse studenten; zij zijn inwoners maar uiteraard niet werk</w:t>
      </w:r>
      <w:r w:rsidR="00C82B1F">
        <w:t>zaam</w:t>
      </w:r>
      <w:r w:rsidRPr="00CD6FA7">
        <w:t>.</w:t>
      </w:r>
      <w:r w:rsidR="00CD6FA7">
        <w:t xml:space="preserve"> Ook de werkzaamheidsgraad van 50 tot 64</w:t>
      </w:r>
      <w:r w:rsidR="00193BC5">
        <w:t>-</w:t>
      </w:r>
      <w:r w:rsidR="00CD6FA7">
        <w:t>jarigen is in Leuven het hoogst van alle centrumsteden. Twee derde van de 50 tot 64</w:t>
      </w:r>
      <w:r w:rsidR="00193BC5">
        <w:t>-</w:t>
      </w:r>
      <w:r w:rsidR="00CD6FA7">
        <w:t xml:space="preserve">jarigen in Leuven </w:t>
      </w:r>
      <w:r w:rsidR="00C82B1F">
        <w:t xml:space="preserve">is </w:t>
      </w:r>
      <w:r w:rsidR="00CD6FA7">
        <w:t xml:space="preserve">werkzaam. </w:t>
      </w:r>
    </w:p>
    <w:p w14:paraId="4291DEA8" w14:textId="77777777" w:rsidR="007D049B" w:rsidRDefault="007D049B" w:rsidP="000E2D32"/>
    <w:p w14:paraId="6B33DF25" w14:textId="7EA915ED" w:rsidR="00066CD7" w:rsidRPr="00E77987" w:rsidRDefault="00066CD7" w:rsidP="00066CD7">
      <w:pPr>
        <w:rPr>
          <w:szCs w:val="20"/>
        </w:rPr>
      </w:pPr>
      <w:r w:rsidRPr="00E77987">
        <w:rPr>
          <w:szCs w:val="20"/>
        </w:rPr>
        <w:t xml:space="preserve">Leuven heeft, net zoals in de vorige editie, de hoogste bruto </w:t>
      </w:r>
      <w:r w:rsidRPr="00E77987">
        <w:rPr>
          <w:szCs w:val="20"/>
          <w:u w:val="single"/>
        </w:rPr>
        <w:t>toegevoegde waarde per inwoner, namelijk 68.154 euro</w:t>
      </w:r>
      <w:r w:rsidRPr="00E77987">
        <w:rPr>
          <w:szCs w:val="20"/>
        </w:rPr>
        <w:t>, tegenover een gemiddelde van de centrumsteden van 48.252 € euro</w:t>
      </w:r>
      <w:r>
        <w:rPr>
          <w:szCs w:val="20"/>
        </w:rPr>
        <w:t xml:space="preserve"> (cijfers van 2015)</w:t>
      </w:r>
      <w:r w:rsidRPr="00E77987">
        <w:rPr>
          <w:szCs w:val="20"/>
        </w:rPr>
        <w:t xml:space="preserve">. </w:t>
      </w:r>
    </w:p>
    <w:p w14:paraId="22993931" w14:textId="77777777" w:rsidR="00066CD7" w:rsidRDefault="00066CD7" w:rsidP="00C95225"/>
    <w:p w14:paraId="3DB587D4" w14:textId="34136FB9" w:rsidR="00C95225" w:rsidRPr="00C95225" w:rsidRDefault="00C95225" w:rsidP="00C95225">
      <w:r>
        <w:t xml:space="preserve">Wat betreft werkloosheid, het </w:t>
      </w:r>
      <w:r w:rsidRPr="00CE34FD">
        <w:rPr>
          <w:u w:val="single"/>
        </w:rPr>
        <w:t xml:space="preserve">aantal </w:t>
      </w:r>
      <w:r>
        <w:rPr>
          <w:u w:val="single"/>
        </w:rPr>
        <w:t xml:space="preserve">niet werkende werkzoekende tussen 18 en 65 jaar op de totale beroepsbevolking tussen 18 en 65 jaar, </w:t>
      </w:r>
      <w:r w:rsidRPr="00C95225">
        <w:t xml:space="preserve">kent Leuven </w:t>
      </w:r>
      <w:r>
        <w:t xml:space="preserve">een lichte stijging, namelijk 7.78% in 2017 t.o.v. 7.52% in 2014 en 6.70 in 2011. </w:t>
      </w:r>
      <w:r w:rsidR="002E5FBC">
        <w:t xml:space="preserve">In 2017 staat Leuven hiermee op de </w:t>
      </w:r>
      <w:r w:rsidR="009F25D4">
        <w:t>4</w:t>
      </w:r>
      <w:r w:rsidR="002E5FBC" w:rsidRPr="002E5FBC">
        <w:rPr>
          <w:vertAlign w:val="superscript"/>
        </w:rPr>
        <w:t>de</w:t>
      </w:r>
      <w:r w:rsidR="002E5FBC">
        <w:t xml:space="preserve"> plaats. </w:t>
      </w:r>
      <w:r>
        <w:t>De gemiddelde werkloosheidsgraad voor de 13 centrumsteden bedraagt 11.1%</w:t>
      </w:r>
      <w:r w:rsidR="00C82B1F">
        <w:t xml:space="preserve">. </w:t>
      </w:r>
      <w:r w:rsidR="00C82B1F" w:rsidRPr="00C82B1F">
        <w:t>In het merendeel van de centrumsteden is de werkloosheid gedaald vanaf 2016.</w:t>
      </w:r>
    </w:p>
    <w:p w14:paraId="78289BEA" w14:textId="77777777" w:rsidR="00C95225" w:rsidRDefault="00C95225" w:rsidP="00B76271"/>
    <w:p w14:paraId="2F843A87" w14:textId="38615DC8" w:rsidR="00685830" w:rsidRDefault="00685830">
      <w:pPr>
        <w:rPr>
          <w:b/>
        </w:rPr>
      </w:pPr>
    </w:p>
    <w:p w14:paraId="51BA5F2A" w14:textId="7E3AC428" w:rsidR="00510F20" w:rsidRPr="00510F20" w:rsidRDefault="00510F20" w:rsidP="002D2597">
      <w:pPr>
        <w:rPr>
          <w:b/>
        </w:rPr>
      </w:pPr>
      <w:r w:rsidRPr="00510F20">
        <w:rPr>
          <w:b/>
        </w:rPr>
        <w:t xml:space="preserve">Armoede </w:t>
      </w:r>
    </w:p>
    <w:p w14:paraId="75E19CDB" w14:textId="77777777" w:rsidR="002E5FBC" w:rsidRDefault="002E5FBC" w:rsidP="00A438C6"/>
    <w:p w14:paraId="53102613" w14:textId="4DB76E37" w:rsidR="002E5FBC" w:rsidRDefault="002E5FBC" w:rsidP="002E5FBC">
      <w:r>
        <w:t xml:space="preserve">Vanaf 2017 wordt in de survey van de stadsmonitor gepeild naar </w:t>
      </w:r>
      <w:r w:rsidRPr="00420EB0">
        <w:rPr>
          <w:u w:val="single"/>
        </w:rPr>
        <w:t>subjectieve armoede</w:t>
      </w:r>
      <w:r>
        <w:t xml:space="preserve"> van de inwoners door volgende vraag te stellen: “Kan je gezin met het maandelijks beschikbaar inkomen rondkomen?</w:t>
      </w:r>
      <w:r w:rsidR="003F348E">
        <w:t xml:space="preserve">”. In Leuven gaf </w:t>
      </w:r>
      <w:r w:rsidR="009F25D4">
        <w:t>12</w:t>
      </w:r>
      <w:r w:rsidR="003F348E">
        <w:t xml:space="preserve">% aan (heel erg) moeilijk rond te komen, wat het laagste aandeel is van alle centrumsteden. Ook de verschillen tussen de bevraagde </w:t>
      </w:r>
      <w:r w:rsidR="009F25D4">
        <w:t>stadsgebieden</w:t>
      </w:r>
      <w:r w:rsidR="003F348E">
        <w:t xml:space="preserve"> zijn klein. Dit laag aandeel kan deels verklaard worden door de ondervertegenwoordiging van niet-Belgen bij de personen die de vragenlijst hebben ingevuld en moet enigszins genuanceerd worden. </w:t>
      </w:r>
    </w:p>
    <w:p w14:paraId="2D917BB9" w14:textId="77777777" w:rsidR="002E5FBC" w:rsidRDefault="002E5FBC" w:rsidP="002E5FBC"/>
    <w:p w14:paraId="4144335C" w14:textId="58F22B64" w:rsidR="002C0A51" w:rsidRPr="002C0A51" w:rsidRDefault="002C0A51" w:rsidP="002E5FBC">
      <w:pPr>
        <w:rPr>
          <w:szCs w:val="20"/>
        </w:rPr>
      </w:pPr>
      <w:r w:rsidRPr="002C0A51">
        <w:rPr>
          <w:szCs w:val="20"/>
        </w:rPr>
        <w:t xml:space="preserve">Het </w:t>
      </w:r>
      <w:r w:rsidRPr="002C0A51">
        <w:rPr>
          <w:szCs w:val="20"/>
          <w:u w:val="single"/>
        </w:rPr>
        <w:t>procentueel aantal huishoudens</w:t>
      </w:r>
      <w:r w:rsidRPr="002C0A51">
        <w:rPr>
          <w:szCs w:val="20"/>
        </w:rPr>
        <w:t xml:space="preserve"> dat in de survey van de stadsmonitor </w:t>
      </w:r>
      <w:r w:rsidRPr="002C0A51">
        <w:rPr>
          <w:szCs w:val="20"/>
          <w:u w:val="single"/>
        </w:rPr>
        <w:t>betalingsmoeilijkheden</w:t>
      </w:r>
      <w:r w:rsidRPr="002C0A51">
        <w:rPr>
          <w:szCs w:val="20"/>
        </w:rPr>
        <w:t xml:space="preserve"> rapporteert, steeg van 9,4% in 2011 naar 10,5%</w:t>
      </w:r>
      <w:r>
        <w:rPr>
          <w:szCs w:val="20"/>
        </w:rPr>
        <w:t xml:space="preserve"> in 2014 en ligt in 2017 op 11%. Leuven heeft</w:t>
      </w:r>
      <w:r w:rsidR="009F25D4">
        <w:rPr>
          <w:szCs w:val="20"/>
        </w:rPr>
        <w:t>, na Kortrijk,</w:t>
      </w:r>
      <w:r>
        <w:rPr>
          <w:szCs w:val="20"/>
        </w:rPr>
        <w:t xml:space="preserve"> het laagste aandeel van huishoudens met betalingsmoeilijkheden van alle centrumsteden.</w:t>
      </w:r>
    </w:p>
    <w:p w14:paraId="70733160" w14:textId="77777777" w:rsidR="002E5FBC" w:rsidRDefault="002E5FBC" w:rsidP="00A438C6"/>
    <w:p w14:paraId="6E3026B2" w14:textId="529E2FC7" w:rsidR="00A438C6" w:rsidRDefault="00C26473" w:rsidP="00912FFF">
      <w:r w:rsidRPr="00674186">
        <w:t xml:space="preserve">16% van de inwoners leeft in een gezin met een lage werkintensiteit (2016). </w:t>
      </w:r>
      <w:r w:rsidR="00D305F5">
        <w:t>Dit aandeel is sinds 2012 stabiel en is n</w:t>
      </w:r>
      <w:r w:rsidR="00674186" w:rsidRPr="00674186">
        <w:t>a Antwerpen, Genk, Oostende en Gent het hoogste aandeel van de centrumsteden.</w:t>
      </w:r>
      <w:r w:rsidR="00674186">
        <w:t xml:space="preserve"> </w:t>
      </w:r>
      <w:r w:rsidR="00A46CED">
        <w:t>Het aandeel van personen van 0 tot 17 jaar dat leeft in een gezin met lage werkintensiteit is 10.4% in 2016 (10,1% in</w:t>
      </w:r>
      <w:r w:rsidR="00925E2D">
        <w:t xml:space="preserve"> 2014) en is het laagste aandeel na Brugge en Roeselare.</w:t>
      </w:r>
      <w:r w:rsidR="00A46CED">
        <w:t xml:space="preserve"> </w:t>
      </w:r>
    </w:p>
    <w:p w14:paraId="484971BA" w14:textId="77777777" w:rsidR="00A438C6" w:rsidRDefault="00A438C6" w:rsidP="00727E44"/>
    <w:p w14:paraId="6C03F139" w14:textId="334596DA" w:rsidR="00806AEC" w:rsidRDefault="00806AEC" w:rsidP="00806AEC">
      <w:r>
        <w:t xml:space="preserve">De </w:t>
      </w:r>
      <w:proofErr w:type="spellStart"/>
      <w:r w:rsidRPr="00A438C6">
        <w:rPr>
          <w:u w:val="single"/>
        </w:rPr>
        <w:t>kansarmoede</w:t>
      </w:r>
      <w:proofErr w:type="spellEnd"/>
      <w:r>
        <w:rPr>
          <w:u w:val="single"/>
        </w:rPr>
        <w:t>-</w:t>
      </w:r>
      <w:r w:rsidRPr="00A438C6">
        <w:rPr>
          <w:u w:val="single"/>
        </w:rPr>
        <w:t>index</w:t>
      </w:r>
      <w:r>
        <w:t xml:space="preserve"> van Kind en Gezin zet het aantal kansarme geboortes in 2016 op 20.2%, wat een stijging inhoudt van 6.4% ten opzichte van 2013 en een gemiddelde score is (6</w:t>
      </w:r>
      <w:r w:rsidRPr="001229AB">
        <w:rPr>
          <w:vertAlign w:val="superscript"/>
        </w:rPr>
        <w:t>de</w:t>
      </w:r>
      <w:r>
        <w:t xml:space="preserve"> hoogste aandeel van de centrumsteden). De regioteamleden van Kind en Gezin leveren de basisgegevens hiervoor aan. Zij toetsen bij elk gezin zes criteria: het maandinkomen van het gezin, de arbeidssituatie van de ouders, de opleiding van de ouders, de huisvesting, de ontwikkeling van de kinderen en de gezondheid. Per criterium werd een ondergrens bepaald, die in combinatie met de andere criteria aangeeft of een gezin al dan niet leeft in </w:t>
      </w:r>
      <w:proofErr w:type="spellStart"/>
      <w:r>
        <w:t>kansarmoede</w:t>
      </w:r>
      <w:proofErr w:type="spellEnd"/>
      <w:r>
        <w:t xml:space="preserve">. Wanneer de leefomstandigheden van een gezin bij drie of meer van deze zes criteria zich op of onder de ondergrens bevinden, dan wordt het gezin als levend in </w:t>
      </w:r>
      <w:proofErr w:type="spellStart"/>
      <w:r>
        <w:t>kansarmoede</w:t>
      </w:r>
      <w:proofErr w:type="spellEnd"/>
      <w:r>
        <w:t xml:space="preserve"> beschouwd. </w:t>
      </w:r>
      <w:r w:rsidR="00FE2DE1">
        <w:t xml:space="preserve">De </w:t>
      </w:r>
      <w:proofErr w:type="spellStart"/>
      <w:r w:rsidR="00FE2DE1">
        <w:t>kansarmoede</w:t>
      </w:r>
      <w:proofErr w:type="spellEnd"/>
      <w:r w:rsidR="00FE2DE1">
        <w:t>-index van K&amp;G is een diagnose</w:t>
      </w:r>
      <w:r w:rsidR="00BC1813">
        <w:t>-</w:t>
      </w:r>
      <w:r w:rsidR="00FE2DE1">
        <w:t xml:space="preserve"> instrument en toont aan dat Leuven een diverse en veelzijdige stad is met heel wat kwetsbaarheden. </w:t>
      </w:r>
      <w:r w:rsidR="00FE2DE1">
        <w:lastRenderedPageBreak/>
        <w:t>Hoe je met die diagnose omgaat op vlak van woon-, gezins-, gezondheids-, en werksituatie van jonge gezinnen, dat is de vraag waar de monitor toe aanzet.</w:t>
      </w:r>
      <w:r>
        <w:t xml:space="preserve"> </w:t>
      </w:r>
    </w:p>
    <w:p w14:paraId="74A26D66" w14:textId="77777777" w:rsidR="00806AEC" w:rsidRDefault="00806AEC" w:rsidP="00806AEC"/>
    <w:p w14:paraId="6E49F5E4" w14:textId="266B121B" w:rsidR="00806AEC" w:rsidRDefault="00806AEC" w:rsidP="00806AEC">
      <w:r>
        <w:t xml:space="preserve">De </w:t>
      </w:r>
      <w:r w:rsidRPr="0044020D">
        <w:t>OKI-index,</w:t>
      </w:r>
      <w:r>
        <w:t xml:space="preserve"> de </w:t>
      </w:r>
      <w:proofErr w:type="spellStart"/>
      <w:r>
        <w:t>kansarmoede</w:t>
      </w:r>
      <w:proofErr w:type="spellEnd"/>
      <w:r>
        <w:t xml:space="preserve">-index die wordt gebruikt in het onderwijs, positioneert Leuven op een meer positieve vierde plaats. Deze index is ten opzichte van vorige editie licht gestegen van 0.78, naar 0.81. De OKI-index is een samengestelde indicator die het risico op </w:t>
      </w:r>
      <w:proofErr w:type="spellStart"/>
      <w:r>
        <w:t>kansarmoede</w:t>
      </w:r>
      <w:proofErr w:type="spellEnd"/>
      <w:r>
        <w:t xml:space="preserve"> weergeeft en uitgaat van volgende leerlingenkenmerken: laag opleidingsniveau van de moeder, gezinstaal niet-Nederlands, schooltoelage, buurt met hoge mate van schoolse vertraging.</w:t>
      </w:r>
    </w:p>
    <w:p w14:paraId="4CAD17FD" w14:textId="77777777" w:rsidR="00604620" w:rsidRDefault="00604620" w:rsidP="00901648">
      <w:pPr>
        <w:rPr>
          <w:i/>
          <w:sz w:val="18"/>
          <w:szCs w:val="18"/>
        </w:rPr>
      </w:pPr>
    </w:p>
    <w:p w14:paraId="168247BD" w14:textId="6BDF8B90" w:rsidR="0024223B" w:rsidRDefault="002F3BD2" w:rsidP="00727E44">
      <w:r w:rsidRPr="00B26355">
        <w:t>Leuven kent een</w:t>
      </w:r>
      <w:r w:rsidR="00992C36" w:rsidRPr="00B26355">
        <w:t xml:space="preserve"> </w:t>
      </w:r>
      <w:r w:rsidR="00992C36" w:rsidRPr="00B26355">
        <w:rPr>
          <w:u w:val="single"/>
        </w:rPr>
        <w:t>ongekwalificeerde uitstroom uit het secundair onderwijs</w:t>
      </w:r>
      <w:r w:rsidR="00992C36" w:rsidRPr="00B26355">
        <w:t xml:space="preserve"> </w:t>
      </w:r>
      <w:r w:rsidRPr="00B26355">
        <w:t>van</w:t>
      </w:r>
      <w:r w:rsidR="00992C36" w:rsidRPr="00B26355">
        <w:t xml:space="preserve"> 14%</w:t>
      </w:r>
      <w:r w:rsidR="00B26355" w:rsidRPr="00B26355">
        <w:t xml:space="preserve">, wat een lichte </w:t>
      </w:r>
      <w:r w:rsidR="00D90F5A">
        <w:t>stijging</w:t>
      </w:r>
      <w:r w:rsidR="00B26355" w:rsidRPr="00B26355">
        <w:t xml:space="preserve"> is sinds vorige meting, </w:t>
      </w:r>
      <w:r w:rsidRPr="00B26355">
        <w:t>en behaalt hiervoor t.o.v. de andere centrumsteden een gemiddelde plaats (7</w:t>
      </w:r>
      <w:r w:rsidRPr="00B26355">
        <w:rPr>
          <w:vertAlign w:val="superscript"/>
        </w:rPr>
        <w:t>de</w:t>
      </w:r>
      <w:r w:rsidRPr="00B26355">
        <w:t xml:space="preserve"> plaats). </w:t>
      </w:r>
      <w:r w:rsidR="00D0758D" w:rsidRPr="00B26355">
        <w:t>Dit impliceert dat 1 op 7 van de Leuvense leerlingen het secundair onderwijs verlaten zonder diploma, wat zorgwekkend is. Vooral de thuistaal niet-Nederlands is hier een grote risicofactor.</w:t>
      </w:r>
      <w:r w:rsidR="0087326A">
        <w:t xml:space="preserve"> </w:t>
      </w:r>
      <w:r w:rsidR="0087326A" w:rsidRPr="00B744FE">
        <w:t>17% van de Leuvense leerlingen in het voltijds secundair onderwijs spreekt thuis niet Nederlands. In het deeltijds secundair onderwijs is dit 46%, wat het hoogste aandeel is van alle centrumsteden.</w:t>
      </w:r>
    </w:p>
    <w:p w14:paraId="1F06E13F" w14:textId="77777777" w:rsidR="0024223B" w:rsidRDefault="0024223B" w:rsidP="00727E44"/>
    <w:p w14:paraId="0DA304E2" w14:textId="77777777" w:rsidR="00F33427" w:rsidRDefault="00F33427" w:rsidP="00803754">
      <w:pPr>
        <w:rPr>
          <w:b/>
        </w:rPr>
      </w:pPr>
    </w:p>
    <w:p w14:paraId="41FF019B" w14:textId="77777777" w:rsidR="00B76271" w:rsidRPr="00B76271" w:rsidRDefault="00AA1C89" w:rsidP="00803754">
      <w:pPr>
        <w:rPr>
          <w:b/>
        </w:rPr>
      </w:pPr>
      <w:r>
        <w:rPr>
          <w:b/>
        </w:rPr>
        <w:t>Zorg</w:t>
      </w:r>
      <w:r w:rsidR="00B76271" w:rsidRPr="00B76271">
        <w:rPr>
          <w:b/>
        </w:rPr>
        <w:t xml:space="preserve"> en gezondheid</w:t>
      </w:r>
    </w:p>
    <w:p w14:paraId="6EED774A" w14:textId="77777777" w:rsidR="002D79B0" w:rsidRDefault="002D79B0" w:rsidP="00803754"/>
    <w:p w14:paraId="270645E0" w14:textId="08A7D672" w:rsidR="00DD36FC" w:rsidRPr="00217433" w:rsidRDefault="002D79B0" w:rsidP="003A66B9">
      <w:r>
        <w:t xml:space="preserve">Op het vlak van </w:t>
      </w:r>
      <w:r w:rsidRPr="00A438C6">
        <w:rPr>
          <w:u w:val="single"/>
        </w:rPr>
        <w:t xml:space="preserve">aanbod aan </w:t>
      </w:r>
      <w:r w:rsidR="00AE32E3">
        <w:rPr>
          <w:u w:val="single"/>
        </w:rPr>
        <w:t xml:space="preserve">residentiële </w:t>
      </w:r>
      <w:r w:rsidR="00D43560">
        <w:rPr>
          <w:u w:val="single"/>
        </w:rPr>
        <w:t>plaatsen in ouderenzorg</w:t>
      </w:r>
      <w:r>
        <w:t xml:space="preserve"> behaalt Leuven een 4</w:t>
      </w:r>
      <w:r w:rsidRPr="002D79B0">
        <w:rPr>
          <w:vertAlign w:val="superscript"/>
        </w:rPr>
        <w:t>de</w:t>
      </w:r>
      <w:r>
        <w:t xml:space="preserve"> plaats, met 91 plaatsen per 1000 65-plussers.</w:t>
      </w:r>
      <w:r w:rsidR="003A66B9">
        <w:t xml:space="preserve"> Dit is een stijging van 9% ten opzichte van </w:t>
      </w:r>
      <w:r w:rsidR="00D43560">
        <w:t>2014</w:t>
      </w:r>
      <w:r w:rsidR="003A66B9">
        <w:t xml:space="preserve">. </w:t>
      </w:r>
      <w:r w:rsidR="00D43560">
        <w:t>Ondanks deze mooie score vindt “slechts” 64% van de inwoners dat er voldoende zorgvoorzieningen voor ouderen zijn in de eigen buurt. Dit is, na Mechelen, de laagste score van de centrumsteden.</w:t>
      </w:r>
    </w:p>
    <w:p w14:paraId="19F9D1F9" w14:textId="578C960B" w:rsidR="002D79B0" w:rsidRDefault="002D79B0" w:rsidP="00803754"/>
    <w:p w14:paraId="07B89470" w14:textId="242610C3" w:rsidR="0075301E" w:rsidRDefault="0075301E" w:rsidP="0075301E">
      <w:r>
        <w:t xml:space="preserve">Het </w:t>
      </w:r>
      <w:r w:rsidRPr="00A96B03">
        <w:rPr>
          <w:u w:val="single"/>
        </w:rPr>
        <w:t xml:space="preserve">aantal inwoners dat rapporteert aan mantelzorg te doen, </w:t>
      </w:r>
      <w:r>
        <w:t>ligt, net als vorige editie, het laagste van de 13 steden. Dit is hoogstwaarschijnlijk te wijten is aan minder familiale generatiebewoning dan in andere steden, gekoppeld aan de hoge werkzaamheidsgraad van 50+’ers.</w:t>
      </w:r>
      <w:r w:rsidR="002B437D">
        <w:t xml:space="preserve"> </w:t>
      </w:r>
    </w:p>
    <w:p w14:paraId="4764F930" w14:textId="77777777" w:rsidR="0075301E" w:rsidRDefault="0075301E" w:rsidP="00803754"/>
    <w:p w14:paraId="4DCA95C0" w14:textId="233D12AD" w:rsidR="00884132" w:rsidRPr="005C5B0C" w:rsidRDefault="003B2BE4" w:rsidP="003B2BE4">
      <w:r w:rsidRPr="005C5B0C">
        <w:t xml:space="preserve">74% van de Leuvenaars geeft aan </w:t>
      </w:r>
      <w:r w:rsidR="005C5B0C" w:rsidRPr="005C5B0C">
        <w:t xml:space="preserve">zich </w:t>
      </w:r>
      <w:r w:rsidR="005C5B0C" w:rsidRPr="00911A37">
        <w:rPr>
          <w:u w:val="single"/>
        </w:rPr>
        <w:t>over het algemeen gezond te voele</w:t>
      </w:r>
      <w:r w:rsidRPr="00911A37">
        <w:rPr>
          <w:u w:val="single"/>
        </w:rPr>
        <w:t>n</w:t>
      </w:r>
      <w:r w:rsidRPr="005C5B0C">
        <w:t xml:space="preserve">. </w:t>
      </w:r>
      <w:r w:rsidR="005C5B0C" w:rsidRPr="005C5B0C">
        <w:t>Alhoewel dit aandeel ligt gedaald is t.o.v. vorige editie, is dit</w:t>
      </w:r>
      <w:r w:rsidRPr="005C5B0C">
        <w:t xml:space="preserve"> het hoogste aandeel van de centrumsteden. </w:t>
      </w:r>
      <w:r w:rsidR="003F272F">
        <w:t xml:space="preserve">De subjectieve inschatting van zich over het algemeen gezond te voelen, wordt ondersteund door meer objectieve gegevens. Zo liggen zowel de antibioticumconsumptie evenals het aandeel inwoners dat antidiabetes medicatie krijgt, het laagst in Leuven en telt Leuven, na Mechelen en Gent het laagste percentage inwoners met een chronische aandoening. </w:t>
      </w:r>
    </w:p>
    <w:p w14:paraId="6FDFBC04" w14:textId="77777777" w:rsidR="001D2967" w:rsidRDefault="001D2967" w:rsidP="00803754"/>
    <w:p w14:paraId="5B4ABA20" w14:textId="77777777" w:rsidR="00FA20C8" w:rsidRDefault="00FA20C8" w:rsidP="00095597">
      <w:pPr>
        <w:rPr>
          <w:b/>
        </w:rPr>
      </w:pPr>
    </w:p>
    <w:p w14:paraId="5CD3433A" w14:textId="77777777" w:rsidR="00095597" w:rsidRPr="005F1AAC" w:rsidRDefault="00095597" w:rsidP="00095597">
      <w:pPr>
        <w:rPr>
          <w:b/>
        </w:rPr>
      </w:pPr>
      <w:r>
        <w:rPr>
          <w:b/>
        </w:rPr>
        <w:t>Actieve burgers en betrokkenheid</w:t>
      </w:r>
    </w:p>
    <w:p w14:paraId="5C64D19E" w14:textId="77777777" w:rsidR="002D6D7E" w:rsidRDefault="000E7CFA" w:rsidP="000E7CFA">
      <w:pPr>
        <w:rPr>
          <w:szCs w:val="20"/>
        </w:rPr>
      </w:pPr>
      <w:r w:rsidRPr="000E7CFA">
        <w:rPr>
          <w:szCs w:val="20"/>
        </w:rPr>
        <w:t xml:space="preserve">Leuvenaars zijn zeer actieve burgers: 47% is </w:t>
      </w:r>
      <w:r w:rsidRPr="000E7CFA">
        <w:rPr>
          <w:szCs w:val="20"/>
          <w:u w:val="single"/>
        </w:rPr>
        <w:t>actief lid van een vereniging</w:t>
      </w:r>
      <w:r w:rsidRPr="000E7CFA">
        <w:rPr>
          <w:szCs w:val="20"/>
        </w:rPr>
        <w:t>,</w:t>
      </w:r>
      <w:r>
        <w:rPr>
          <w:szCs w:val="20"/>
        </w:rPr>
        <w:t xml:space="preserve"> een stijging van 5% ten opzichte van 2014. Enkel Hasselt telt, relatief gezien, meer actieve burgers.</w:t>
      </w:r>
      <w:r w:rsidRPr="000E7CFA">
        <w:rPr>
          <w:szCs w:val="20"/>
        </w:rPr>
        <w:t xml:space="preserve"> </w:t>
      </w:r>
      <w:r w:rsidR="00875A61">
        <w:rPr>
          <w:szCs w:val="20"/>
        </w:rPr>
        <w:t>Tevens</w:t>
      </w:r>
      <w:r>
        <w:rPr>
          <w:szCs w:val="20"/>
        </w:rPr>
        <w:t xml:space="preserve"> zet 16% van de Leuvenaar</w:t>
      </w:r>
      <w:r w:rsidR="008257E9">
        <w:rPr>
          <w:szCs w:val="20"/>
        </w:rPr>
        <w:t>s</w:t>
      </w:r>
      <w:r>
        <w:rPr>
          <w:szCs w:val="20"/>
        </w:rPr>
        <w:t xml:space="preserve"> zich wekelijks </w:t>
      </w:r>
      <w:r w:rsidRPr="00546B39">
        <w:rPr>
          <w:szCs w:val="20"/>
          <w:u w:val="single"/>
        </w:rPr>
        <w:t>vrijwillig</w:t>
      </w:r>
      <w:r>
        <w:rPr>
          <w:szCs w:val="20"/>
        </w:rPr>
        <w:t xml:space="preserve"> in</w:t>
      </w:r>
      <w:r w:rsidR="00875A61">
        <w:rPr>
          <w:szCs w:val="20"/>
        </w:rPr>
        <w:t xml:space="preserve">. </w:t>
      </w:r>
      <w:r>
        <w:rPr>
          <w:szCs w:val="20"/>
        </w:rPr>
        <w:t xml:space="preserve"> </w:t>
      </w:r>
    </w:p>
    <w:p w14:paraId="2FC6ED99" w14:textId="2C7F59F2" w:rsidR="000E7CFA" w:rsidRDefault="00875A61" w:rsidP="000E7CFA">
      <w:pPr>
        <w:rPr>
          <w:szCs w:val="20"/>
        </w:rPr>
      </w:pPr>
      <w:r>
        <w:rPr>
          <w:szCs w:val="20"/>
        </w:rPr>
        <w:t xml:space="preserve">Daarenboven is </w:t>
      </w:r>
      <w:r w:rsidR="000E7CFA">
        <w:rPr>
          <w:szCs w:val="20"/>
        </w:rPr>
        <w:t xml:space="preserve">8% </w:t>
      </w:r>
      <w:r w:rsidRPr="00546B39">
        <w:rPr>
          <w:szCs w:val="20"/>
          <w:u w:val="single"/>
        </w:rPr>
        <w:t>actief in</w:t>
      </w:r>
      <w:r w:rsidR="00E00CC7" w:rsidRPr="00546B39">
        <w:rPr>
          <w:szCs w:val="20"/>
          <w:u w:val="single"/>
        </w:rPr>
        <w:t xml:space="preserve"> een bewonersgroep</w:t>
      </w:r>
      <w:r w:rsidR="00E00CC7">
        <w:rPr>
          <w:szCs w:val="20"/>
        </w:rPr>
        <w:t xml:space="preserve">, </w:t>
      </w:r>
      <w:r>
        <w:rPr>
          <w:szCs w:val="20"/>
        </w:rPr>
        <w:t xml:space="preserve">en was 16% het afgelopen jaar actief om iets in de buurt of stad te verbeteren. Tenslotte nam een derde van de inwoners (33%) deel aan </w:t>
      </w:r>
      <w:r w:rsidR="002D6D7E">
        <w:rPr>
          <w:szCs w:val="20"/>
        </w:rPr>
        <w:t xml:space="preserve">een buurtactiviteit. Leuven behaalt hier, na Hasselt en Gent, telkens het hoogste </w:t>
      </w:r>
      <w:r w:rsidR="002D6D7E" w:rsidRPr="004A05B8">
        <w:rPr>
          <w:szCs w:val="20"/>
        </w:rPr>
        <w:t>aandeel</w:t>
      </w:r>
      <w:r w:rsidR="002D6D7E">
        <w:rPr>
          <w:szCs w:val="20"/>
        </w:rPr>
        <w:t xml:space="preserve"> van de centrumsteden</w:t>
      </w:r>
      <w:r w:rsidR="002D6D7E" w:rsidRPr="004A05B8">
        <w:rPr>
          <w:szCs w:val="20"/>
        </w:rPr>
        <w:t>.</w:t>
      </w:r>
    </w:p>
    <w:p w14:paraId="2CAA54C9" w14:textId="482246C1" w:rsidR="00546B39" w:rsidRDefault="00546B39" w:rsidP="000E7CFA">
      <w:pPr>
        <w:rPr>
          <w:szCs w:val="20"/>
        </w:rPr>
      </w:pPr>
      <w:r>
        <w:rPr>
          <w:szCs w:val="20"/>
        </w:rPr>
        <w:t xml:space="preserve">Ook al zijn Leuvenaars actief en betrokkenheid, toch is de </w:t>
      </w:r>
      <w:r w:rsidRPr="00546B39">
        <w:rPr>
          <w:szCs w:val="20"/>
          <w:u w:val="single"/>
        </w:rPr>
        <w:t>tevredenheid over het contact in de buurt</w:t>
      </w:r>
      <w:r>
        <w:rPr>
          <w:szCs w:val="20"/>
        </w:rPr>
        <w:t xml:space="preserve"> eerder gemiddeld (74% en 7</w:t>
      </w:r>
      <w:r w:rsidRPr="00546B39">
        <w:rPr>
          <w:szCs w:val="20"/>
          <w:vertAlign w:val="superscript"/>
        </w:rPr>
        <w:t>de</w:t>
      </w:r>
      <w:r>
        <w:rPr>
          <w:szCs w:val="20"/>
        </w:rPr>
        <w:t xml:space="preserve"> plaats) en is de </w:t>
      </w:r>
      <w:r w:rsidRPr="00546B39">
        <w:rPr>
          <w:szCs w:val="20"/>
          <w:u w:val="single"/>
        </w:rPr>
        <w:t>sociale integratie in de buurt</w:t>
      </w:r>
      <w:r>
        <w:rPr>
          <w:szCs w:val="20"/>
        </w:rPr>
        <w:t xml:space="preserve"> eerder laag (34% en 10</w:t>
      </w:r>
      <w:r w:rsidRPr="00546B39">
        <w:rPr>
          <w:szCs w:val="20"/>
          <w:vertAlign w:val="superscript"/>
        </w:rPr>
        <w:t>de</w:t>
      </w:r>
      <w:r>
        <w:rPr>
          <w:szCs w:val="20"/>
        </w:rPr>
        <w:t xml:space="preserve"> plaats).</w:t>
      </w:r>
    </w:p>
    <w:p w14:paraId="4682C140" w14:textId="213C7BCF" w:rsidR="00546B39" w:rsidRDefault="00546B39" w:rsidP="000E7CFA">
      <w:pPr>
        <w:rPr>
          <w:szCs w:val="20"/>
        </w:rPr>
      </w:pPr>
    </w:p>
    <w:p w14:paraId="186CC871" w14:textId="67236938" w:rsidR="00C14F13" w:rsidRDefault="00C14F13" w:rsidP="00095597">
      <w:r>
        <w:t xml:space="preserve">In Leuven voelen inwoners zich beter dan gemiddeld voor de 13 centrumsteden </w:t>
      </w:r>
      <w:r w:rsidRPr="00420EB0">
        <w:rPr>
          <w:u w:val="single"/>
        </w:rPr>
        <w:t>geïnformeerd</w:t>
      </w:r>
      <w:r>
        <w:t xml:space="preserve"> over de activiteiten (80%), over nieuwe ingrepen en plannen (73%) en voorzieningen (66%). Enkel over de beslissingen van het stadsbestuur scoort Leuven net onder het gemiddelde van de 13 centrumsteden, namelijk 39% ten opzichte van 41%</w:t>
      </w:r>
      <w:r w:rsidR="00023715">
        <w:t xml:space="preserve"> gemiddeld voor de 13 centrumsteden</w:t>
      </w:r>
      <w:r>
        <w:t xml:space="preserve">.  </w:t>
      </w:r>
    </w:p>
    <w:p w14:paraId="2052553E" w14:textId="77777777" w:rsidR="00E16C40" w:rsidRDefault="00E16C40" w:rsidP="00095597"/>
    <w:p w14:paraId="5AE7F53B" w14:textId="7CF4EF26" w:rsidR="00884132" w:rsidRPr="003B2BE4" w:rsidRDefault="003B2BE4" w:rsidP="003B2BE4">
      <w:r w:rsidRPr="003B2BE4">
        <w:t xml:space="preserve">40% van de Leuvenaars vindt dat het stadsbestuur voldoende inspanningen doet om de bewoners bij </w:t>
      </w:r>
      <w:r w:rsidRPr="00546B39">
        <w:rPr>
          <w:u w:val="single"/>
        </w:rPr>
        <w:t>veranderingen in de buurt</w:t>
      </w:r>
      <w:r w:rsidRPr="003B2BE4">
        <w:t xml:space="preserve"> te betrekken. </w:t>
      </w:r>
      <w:r w:rsidR="008257E9">
        <w:t>Dit is een l</w:t>
      </w:r>
      <w:r w:rsidRPr="003B2BE4">
        <w:t>ichte</w:t>
      </w:r>
      <w:r w:rsidR="00570C33">
        <w:t xml:space="preserve"> stijging t.o.v. vorige meting. Leuven neemt hiermee de</w:t>
      </w:r>
      <w:r w:rsidRPr="003B2BE4">
        <w:t xml:space="preserve"> 10</w:t>
      </w:r>
      <w:r w:rsidRPr="003B2BE4">
        <w:rPr>
          <w:vertAlign w:val="superscript"/>
        </w:rPr>
        <w:t>de</w:t>
      </w:r>
      <w:r w:rsidRPr="003B2BE4">
        <w:t xml:space="preserve"> plaats </w:t>
      </w:r>
      <w:r w:rsidR="00570C33">
        <w:t xml:space="preserve">in van de </w:t>
      </w:r>
      <w:r w:rsidRPr="003B2BE4">
        <w:t>centrumsteden.</w:t>
      </w:r>
    </w:p>
    <w:p w14:paraId="61F8B916" w14:textId="7112C881" w:rsidR="00A96B03" w:rsidRDefault="003B2BE4">
      <w:pPr>
        <w:rPr>
          <w:sz w:val="24"/>
          <w:u w:val="single"/>
        </w:rPr>
      </w:pPr>
      <w:r w:rsidRPr="003B2BE4">
        <w:t xml:space="preserve">36% van de Leuvenaars vindt dat het stadsbestuur voldoende inspanningen doet om de </w:t>
      </w:r>
      <w:r w:rsidRPr="00546B39">
        <w:rPr>
          <w:u w:val="single"/>
        </w:rPr>
        <w:t>wensen</w:t>
      </w:r>
      <w:r w:rsidRPr="003B2BE4">
        <w:t xml:space="preserve"> van de bevolking te kennen. </w:t>
      </w:r>
      <w:r w:rsidR="008257E9">
        <w:t>Ook hier tekenen we een l</w:t>
      </w:r>
      <w:r w:rsidRPr="003B2BE4">
        <w:t>ichte stijging</w:t>
      </w:r>
      <w:r w:rsidR="008257E9">
        <w:t xml:space="preserve"> op</w:t>
      </w:r>
      <w:r w:rsidR="00570C33">
        <w:t xml:space="preserve"> t.o.v. vorige meting en neemt Leuven de </w:t>
      </w:r>
      <w:r w:rsidRPr="003B2BE4">
        <w:t>11</w:t>
      </w:r>
      <w:r w:rsidRPr="003B2BE4">
        <w:rPr>
          <w:vertAlign w:val="superscript"/>
        </w:rPr>
        <w:t>de</w:t>
      </w:r>
      <w:r w:rsidRPr="003B2BE4">
        <w:t xml:space="preserve"> plaats</w:t>
      </w:r>
      <w:r w:rsidR="00570C33">
        <w:t xml:space="preserve"> van de</w:t>
      </w:r>
      <w:r w:rsidRPr="003B2BE4">
        <w:t xml:space="preserve"> centrumsteden</w:t>
      </w:r>
      <w:r w:rsidR="00570C33">
        <w:t xml:space="preserve"> in</w:t>
      </w:r>
      <w:r w:rsidRPr="003B2BE4">
        <w:t>.</w:t>
      </w:r>
      <w:bookmarkStart w:id="1" w:name="_GoBack"/>
      <w:bookmarkEnd w:id="1"/>
    </w:p>
    <w:sectPr w:rsidR="00A96B03" w:rsidSect="00D659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8DD5F" w14:textId="77777777" w:rsidR="002F3BD2" w:rsidRDefault="002F3BD2" w:rsidP="00F62CD2">
      <w:r>
        <w:separator/>
      </w:r>
    </w:p>
  </w:endnote>
  <w:endnote w:type="continuationSeparator" w:id="0">
    <w:p w14:paraId="14792109" w14:textId="77777777" w:rsidR="002F3BD2" w:rsidRDefault="002F3BD2" w:rsidP="00F6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44055"/>
      <w:docPartObj>
        <w:docPartGallery w:val="Page Numbers (Bottom of Page)"/>
        <w:docPartUnique/>
      </w:docPartObj>
    </w:sdtPr>
    <w:sdtEndPr/>
    <w:sdtContent>
      <w:p w14:paraId="78EAF2D6" w14:textId="69B26F8E" w:rsidR="0038140B" w:rsidRDefault="0038140B">
        <w:pPr>
          <w:pStyle w:val="Voettekst"/>
          <w:jc w:val="right"/>
        </w:pPr>
        <w:r>
          <w:fldChar w:fldCharType="begin"/>
        </w:r>
        <w:r>
          <w:instrText>PAGE   \* MERGEFORMAT</w:instrText>
        </w:r>
        <w:r>
          <w:fldChar w:fldCharType="separate"/>
        </w:r>
        <w:r w:rsidR="00CB17FD" w:rsidRPr="00CB17FD">
          <w:rPr>
            <w:noProof/>
            <w:lang w:val="nl-NL"/>
          </w:rPr>
          <w:t>5</w:t>
        </w:r>
        <w:r>
          <w:fldChar w:fldCharType="end"/>
        </w:r>
      </w:p>
    </w:sdtContent>
  </w:sdt>
  <w:p w14:paraId="6B3D858B" w14:textId="77777777" w:rsidR="0038140B" w:rsidRDefault="00381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0ACA6" w14:textId="77777777" w:rsidR="002F3BD2" w:rsidRDefault="002F3BD2" w:rsidP="00F62CD2">
      <w:r>
        <w:separator/>
      </w:r>
    </w:p>
  </w:footnote>
  <w:footnote w:type="continuationSeparator" w:id="0">
    <w:p w14:paraId="78E7F2C7" w14:textId="77777777" w:rsidR="002F3BD2" w:rsidRDefault="002F3BD2" w:rsidP="00F62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4C2"/>
    <w:multiLevelType w:val="hybridMultilevel"/>
    <w:tmpl w:val="CB10D2E0"/>
    <w:lvl w:ilvl="0" w:tplc="E1541930">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1E30A19"/>
    <w:multiLevelType w:val="hybridMultilevel"/>
    <w:tmpl w:val="18DAC6DE"/>
    <w:lvl w:ilvl="0" w:tplc="C2F81CCE">
      <w:start w:val="1"/>
      <w:numFmt w:val="bullet"/>
      <w:lvlText w:val="•"/>
      <w:lvlJc w:val="left"/>
      <w:pPr>
        <w:tabs>
          <w:tab w:val="num" w:pos="360"/>
        </w:tabs>
        <w:ind w:left="360" w:hanging="360"/>
      </w:pPr>
      <w:rPr>
        <w:rFonts w:ascii="Arial" w:hAnsi="Arial" w:hint="default"/>
      </w:rPr>
    </w:lvl>
    <w:lvl w:ilvl="1" w:tplc="5F84E7C2" w:tentative="1">
      <w:start w:val="1"/>
      <w:numFmt w:val="bullet"/>
      <w:lvlText w:val="•"/>
      <w:lvlJc w:val="left"/>
      <w:pPr>
        <w:tabs>
          <w:tab w:val="num" w:pos="1080"/>
        </w:tabs>
        <w:ind w:left="1080" w:hanging="360"/>
      </w:pPr>
      <w:rPr>
        <w:rFonts w:ascii="Arial" w:hAnsi="Arial" w:hint="default"/>
      </w:rPr>
    </w:lvl>
    <w:lvl w:ilvl="2" w:tplc="B0C27ABC" w:tentative="1">
      <w:start w:val="1"/>
      <w:numFmt w:val="bullet"/>
      <w:lvlText w:val="•"/>
      <w:lvlJc w:val="left"/>
      <w:pPr>
        <w:tabs>
          <w:tab w:val="num" w:pos="1800"/>
        </w:tabs>
        <w:ind w:left="1800" w:hanging="360"/>
      </w:pPr>
      <w:rPr>
        <w:rFonts w:ascii="Arial" w:hAnsi="Arial" w:hint="default"/>
      </w:rPr>
    </w:lvl>
    <w:lvl w:ilvl="3" w:tplc="0AE08B2A" w:tentative="1">
      <w:start w:val="1"/>
      <w:numFmt w:val="bullet"/>
      <w:lvlText w:val="•"/>
      <w:lvlJc w:val="left"/>
      <w:pPr>
        <w:tabs>
          <w:tab w:val="num" w:pos="2520"/>
        </w:tabs>
        <w:ind w:left="2520" w:hanging="360"/>
      </w:pPr>
      <w:rPr>
        <w:rFonts w:ascii="Arial" w:hAnsi="Arial" w:hint="default"/>
      </w:rPr>
    </w:lvl>
    <w:lvl w:ilvl="4" w:tplc="484E482C" w:tentative="1">
      <w:start w:val="1"/>
      <w:numFmt w:val="bullet"/>
      <w:lvlText w:val="•"/>
      <w:lvlJc w:val="left"/>
      <w:pPr>
        <w:tabs>
          <w:tab w:val="num" w:pos="3240"/>
        </w:tabs>
        <w:ind w:left="3240" w:hanging="360"/>
      </w:pPr>
      <w:rPr>
        <w:rFonts w:ascii="Arial" w:hAnsi="Arial" w:hint="default"/>
      </w:rPr>
    </w:lvl>
    <w:lvl w:ilvl="5" w:tplc="1C4E4420" w:tentative="1">
      <w:start w:val="1"/>
      <w:numFmt w:val="bullet"/>
      <w:lvlText w:val="•"/>
      <w:lvlJc w:val="left"/>
      <w:pPr>
        <w:tabs>
          <w:tab w:val="num" w:pos="3960"/>
        </w:tabs>
        <w:ind w:left="3960" w:hanging="360"/>
      </w:pPr>
      <w:rPr>
        <w:rFonts w:ascii="Arial" w:hAnsi="Arial" w:hint="default"/>
      </w:rPr>
    </w:lvl>
    <w:lvl w:ilvl="6" w:tplc="DFFE9C5C" w:tentative="1">
      <w:start w:val="1"/>
      <w:numFmt w:val="bullet"/>
      <w:lvlText w:val="•"/>
      <w:lvlJc w:val="left"/>
      <w:pPr>
        <w:tabs>
          <w:tab w:val="num" w:pos="4680"/>
        </w:tabs>
        <w:ind w:left="4680" w:hanging="360"/>
      </w:pPr>
      <w:rPr>
        <w:rFonts w:ascii="Arial" w:hAnsi="Arial" w:hint="default"/>
      </w:rPr>
    </w:lvl>
    <w:lvl w:ilvl="7" w:tplc="1D8C08A8" w:tentative="1">
      <w:start w:val="1"/>
      <w:numFmt w:val="bullet"/>
      <w:lvlText w:val="•"/>
      <w:lvlJc w:val="left"/>
      <w:pPr>
        <w:tabs>
          <w:tab w:val="num" w:pos="5400"/>
        </w:tabs>
        <w:ind w:left="5400" w:hanging="360"/>
      </w:pPr>
      <w:rPr>
        <w:rFonts w:ascii="Arial" w:hAnsi="Arial" w:hint="default"/>
      </w:rPr>
    </w:lvl>
    <w:lvl w:ilvl="8" w:tplc="9350CD0A"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25C3DBD"/>
    <w:multiLevelType w:val="hybridMultilevel"/>
    <w:tmpl w:val="60B8DFF8"/>
    <w:lvl w:ilvl="0" w:tplc="EF8C8BC8">
      <w:start w:val="1"/>
      <w:numFmt w:val="bullet"/>
      <w:lvlText w:val="•"/>
      <w:lvlJc w:val="left"/>
      <w:pPr>
        <w:tabs>
          <w:tab w:val="num" w:pos="720"/>
        </w:tabs>
        <w:ind w:left="720" w:hanging="360"/>
      </w:pPr>
      <w:rPr>
        <w:rFonts w:ascii="Arial" w:hAnsi="Arial" w:hint="default"/>
      </w:rPr>
    </w:lvl>
    <w:lvl w:ilvl="1" w:tplc="0812DC5E" w:tentative="1">
      <w:start w:val="1"/>
      <w:numFmt w:val="bullet"/>
      <w:lvlText w:val="•"/>
      <w:lvlJc w:val="left"/>
      <w:pPr>
        <w:tabs>
          <w:tab w:val="num" w:pos="1440"/>
        </w:tabs>
        <w:ind w:left="1440" w:hanging="360"/>
      </w:pPr>
      <w:rPr>
        <w:rFonts w:ascii="Arial" w:hAnsi="Arial" w:hint="default"/>
      </w:rPr>
    </w:lvl>
    <w:lvl w:ilvl="2" w:tplc="9F4A45C2" w:tentative="1">
      <w:start w:val="1"/>
      <w:numFmt w:val="bullet"/>
      <w:lvlText w:val="•"/>
      <w:lvlJc w:val="left"/>
      <w:pPr>
        <w:tabs>
          <w:tab w:val="num" w:pos="2160"/>
        </w:tabs>
        <w:ind w:left="2160" w:hanging="360"/>
      </w:pPr>
      <w:rPr>
        <w:rFonts w:ascii="Arial" w:hAnsi="Arial" w:hint="default"/>
      </w:rPr>
    </w:lvl>
    <w:lvl w:ilvl="3" w:tplc="80060D38" w:tentative="1">
      <w:start w:val="1"/>
      <w:numFmt w:val="bullet"/>
      <w:lvlText w:val="•"/>
      <w:lvlJc w:val="left"/>
      <w:pPr>
        <w:tabs>
          <w:tab w:val="num" w:pos="2880"/>
        </w:tabs>
        <w:ind w:left="2880" w:hanging="360"/>
      </w:pPr>
      <w:rPr>
        <w:rFonts w:ascii="Arial" w:hAnsi="Arial" w:hint="default"/>
      </w:rPr>
    </w:lvl>
    <w:lvl w:ilvl="4" w:tplc="92AE892A" w:tentative="1">
      <w:start w:val="1"/>
      <w:numFmt w:val="bullet"/>
      <w:lvlText w:val="•"/>
      <w:lvlJc w:val="left"/>
      <w:pPr>
        <w:tabs>
          <w:tab w:val="num" w:pos="3600"/>
        </w:tabs>
        <w:ind w:left="3600" w:hanging="360"/>
      </w:pPr>
      <w:rPr>
        <w:rFonts w:ascii="Arial" w:hAnsi="Arial" w:hint="default"/>
      </w:rPr>
    </w:lvl>
    <w:lvl w:ilvl="5" w:tplc="ABA44C50" w:tentative="1">
      <w:start w:val="1"/>
      <w:numFmt w:val="bullet"/>
      <w:lvlText w:val="•"/>
      <w:lvlJc w:val="left"/>
      <w:pPr>
        <w:tabs>
          <w:tab w:val="num" w:pos="4320"/>
        </w:tabs>
        <w:ind w:left="4320" w:hanging="360"/>
      </w:pPr>
      <w:rPr>
        <w:rFonts w:ascii="Arial" w:hAnsi="Arial" w:hint="default"/>
      </w:rPr>
    </w:lvl>
    <w:lvl w:ilvl="6" w:tplc="F12A6CB2" w:tentative="1">
      <w:start w:val="1"/>
      <w:numFmt w:val="bullet"/>
      <w:lvlText w:val="•"/>
      <w:lvlJc w:val="left"/>
      <w:pPr>
        <w:tabs>
          <w:tab w:val="num" w:pos="5040"/>
        </w:tabs>
        <w:ind w:left="5040" w:hanging="360"/>
      </w:pPr>
      <w:rPr>
        <w:rFonts w:ascii="Arial" w:hAnsi="Arial" w:hint="default"/>
      </w:rPr>
    </w:lvl>
    <w:lvl w:ilvl="7" w:tplc="4B929FEA" w:tentative="1">
      <w:start w:val="1"/>
      <w:numFmt w:val="bullet"/>
      <w:lvlText w:val="•"/>
      <w:lvlJc w:val="left"/>
      <w:pPr>
        <w:tabs>
          <w:tab w:val="num" w:pos="5760"/>
        </w:tabs>
        <w:ind w:left="5760" w:hanging="360"/>
      </w:pPr>
      <w:rPr>
        <w:rFonts w:ascii="Arial" w:hAnsi="Arial" w:hint="default"/>
      </w:rPr>
    </w:lvl>
    <w:lvl w:ilvl="8" w:tplc="866436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9E4F8A"/>
    <w:multiLevelType w:val="hybridMultilevel"/>
    <w:tmpl w:val="D7743A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13533B"/>
    <w:multiLevelType w:val="hybridMultilevel"/>
    <w:tmpl w:val="8B525F5E"/>
    <w:lvl w:ilvl="0" w:tplc="0B96E47A">
      <w:start w:val="1"/>
      <w:numFmt w:val="bullet"/>
      <w:lvlText w:val="•"/>
      <w:lvlJc w:val="left"/>
      <w:pPr>
        <w:tabs>
          <w:tab w:val="num" w:pos="720"/>
        </w:tabs>
        <w:ind w:left="720" w:hanging="360"/>
      </w:pPr>
      <w:rPr>
        <w:rFonts w:ascii="Arial" w:hAnsi="Arial" w:hint="default"/>
      </w:rPr>
    </w:lvl>
    <w:lvl w:ilvl="1" w:tplc="9A401E12" w:tentative="1">
      <w:start w:val="1"/>
      <w:numFmt w:val="bullet"/>
      <w:lvlText w:val="•"/>
      <w:lvlJc w:val="left"/>
      <w:pPr>
        <w:tabs>
          <w:tab w:val="num" w:pos="1440"/>
        </w:tabs>
        <w:ind w:left="1440" w:hanging="360"/>
      </w:pPr>
      <w:rPr>
        <w:rFonts w:ascii="Arial" w:hAnsi="Arial" w:hint="default"/>
      </w:rPr>
    </w:lvl>
    <w:lvl w:ilvl="2" w:tplc="0C8806F2" w:tentative="1">
      <w:start w:val="1"/>
      <w:numFmt w:val="bullet"/>
      <w:lvlText w:val="•"/>
      <w:lvlJc w:val="left"/>
      <w:pPr>
        <w:tabs>
          <w:tab w:val="num" w:pos="2160"/>
        </w:tabs>
        <w:ind w:left="2160" w:hanging="360"/>
      </w:pPr>
      <w:rPr>
        <w:rFonts w:ascii="Arial" w:hAnsi="Arial" w:hint="default"/>
      </w:rPr>
    </w:lvl>
    <w:lvl w:ilvl="3" w:tplc="CBBC83D2" w:tentative="1">
      <w:start w:val="1"/>
      <w:numFmt w:val="bullet"/>
      <w:lvlText w:val="•"/>
      <w:lvlJc w:val="left"/>
      <w:pPr>
        <w:tabs>
          <w:tab w:val="num" w:pos="2880"/>
        </w:tabs>
        <w:ind w:left="2880" w:hanging="360"/>
      </w:pPr>
      <w:rPr>
        <w:rFonts w:ascii="Arial" w:hAnsi="Arial" w:hint="default"/>
      </w:rPr>
    </w:lvl>
    <w:lvl w:ilvl="4" w:tplc="6D8639C8" w:tentative="1">
      <w:start w:val="1"/>
      <w:numFmt w:val="bullet"/>
      <w:lvlText w:val="•"/>
      <w:lvlJc w:val="left"/>
      <w:pPr>
        <w:tabs>
          <w:tab w:val="num" w:pos="3600"/>
        </w:tabs>
        <w:ind w:left="3600" w:hanging="360"/>
      </w:pPr>
      <w:rPr>
        <w:rFonts w:ascii="Arial" w:hAnsi="Arial" w:hint="default"/>
      </w:rPr>
    </w:lvl>
    <w:lvl w:ilvl="5" w:tplc="FFC6F644" w:tentative="1">
      <w:start w:val="1"/>
      <w:numFmt w:val="bullet"/>
      <w:lvlText w:val="•"/>
      <w:lvlJc w:val="left"/>
      <w:pPr>
        <w:tabs>
          <w:tab w:val="num" w:pos="4320"/>
        </w:tabs>
        <w:ind w:left="4320" w:hanging="360"/>
      </w:pPr>
      <w:rPr>
        <w:rFonts w:ascii="Arial" w:hAnsi="Arial" w:hint="default"/>
      </w:rPr>
    </w:lvl>
    <w:lvl w:ilvl="6" w:tplc="3984D29E" w:tentative="1">
      <w:start w:val="1"/>
      <w:numFmt w:val="bullet"/>
      <w:lvlText w:val="•"/>
      <w:lvlJc w:val="left"/>
      <w:pPr>
        <w:tabs>
          <w:tab w:val="num" w:pos="5040"/>
        </w:tabs>
        <w:ind w:left="5040" w:hanging="360"/>
      </w:pPr>
      <w:rPr>
        <w:rFonts w:ascii="Arial" w:hAnsi="Arial" w:hint="default"/>
      </w:rPr>
    </w:lvl>
    <w:lvl w:ilvl="7" w:tplc="B470DA2C" w:tentative="1">
      <w:start w:val="1"/>
      <w:numFmt w:val="bullet"/>
      <w:lvlText w:val="•"/>
      <w:lvlJc w:val="left"/>
      <w:pPr>
        <w:tabs>
          <w:tab w:val="num" w:pos="5760"/>
        </w:tabs>
        <w:ind w:left="5760" w:hanging="360"/>
      </w:pPr>
      <w:rPr>
        <w:rFonts w:ascii="Arial" w:hAnsi="Arial" w:hint="default"/>
      </w:rPr>
    </w:lvl>
    <w:lvl w:ilvl="8" w:tplc="592AF6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A10EE7"/>
    <w:multiLevelType w:val="hybridMultilevel"/>
    <w:tmpl w:val="C37C1954"/>
    <w:lvl w:ilvl="0" w:tplc="320A0F50">
      <w:start w:val="1"/>
      <w:numFmt w:val="bullet"/>
      <w:lvlText w:val="•"/>
      <w:lvlJc w:val="left"/>
      <w:pPr>
        <w:tabs>
          <w:tab w:val="num" w:pos="720"/>
        </w:tabs>
        <w:ind w:left="720" w:hanging="360"/>
      </w:pPr>
      <w:rPr>
        <w:rFonts w:ascii="Arial" w:hAnsi="Arial" w:hint="default"/>
      </w:rPr>
    </w:lvl>
    <w:lvl w:ilvl="1" w:tplc="B16AE5F8" w:tentative="1">
      <w:start w:val="1"/>
      <w:numFmt w:val="bullet"/>
      <w:lvlText w:val="•"/>
      <w:lvlJc w:val="left"/>
      <w:pPr>
        <w:tabs>
          <w:tab w:val="num" w:pos="1440"/>
        </w:tabs>
        <w:ind w:left="1440" w:hanging="360"/>
      </w:pPr>
      <w:rPr>
        <w:rFonts w:ascii="Arial" w:hAnsi="Arial" w:hint="default"/>
      </w:rPr>
    </w:lvl>
    <w:lvl w:ilvl="2" w:tplc="E1225ECE" w:tentative="1">
      <w:start w:val="1"/>
      <w:numFmt w:val="bullet"/>
      <w:lvlText w:val="•"/>
      <w:lvlJc w:val="left"/>
      <w:pPr>
        <w:tabs>
          <w:tab w:val="num" w:pos="2160"/>
        </w:tabs>
        <w:ind w:left="2160" w:hanging="360"/>
      </w:pPr>
      <w:rPr>
        <w:rFonts w:ascii="Arial" w:hAnsi="Arial" w:hint="default"/>
      </w:rPr>
    </w:lvl>
    <w:lvl w:ilvl="3" w:tplc="7C74CA3C" w:tentative="1">
      <w:start w:val="1"/>
      <w:numFmt w:val="bullet"/>
      <w:lvlText w:val="•"/>
      <w:lvlJc w:val="left"/>
      <w:pPr>
        <w:tabs>
          <w:tab w:val="num" w:pos="2880"/>
        </w:tabs>
        <w:ind w:left="2880" w:hanging="360"/>
      </w:pPr>
      <w:rPr>
        <w:rFonts w:ascii="Arial" w:hAnsi="Arial" w:hint="default"/>
      </w:rPr>
    </w:lvl>
    <w:lvl w:ilvl="4" w:tplc="E752D598" w:tentative="1">
      <w:start w:val="1"/>
      <w:numFmt w:val="bullet"/>
      <w:lvlText w:val="•"/>
      <w:lvlJc w:val="left"/>
      <w:pPr>
        <w:tabs>
          <w:tab w:val="num" w:pos="3600"/>
        </w:tabs>
        <w:ind w:left="3600" w:hanging="360"/>
      </w:pPr>
      <w:rPr>
        <w:rFonts w:ascii="Arial" w:hAnsi="Arial" w:hint="default"/>
      </w:rPr>
    </w:lvl>
    <w:lvl w:ilvl="5" w:tplc="B5B8CD46" w:tentative="1">
      <w:start w:val="1"/>
      <w:numFmt w:val="bullet"/>
      <w:lvlText w:val="•"/>
      <w:lvlJc w:val="left"/>
      <w:pPr>
        <w:tabs>
          <w:tab w:val="num" w:pos="4320"/>
        </w:tabs>
        <w:ind w:left="4320" w:hanging="360"/>
      </w:pPr>
      <w:rPr>
        <w:rFonts w:ascii="Arial" w:hAnsi="Arial" w:hint="default"/>
      </w:rPr>
    </w:lvl>
    <w:lvl w:ilvl="6" w:tplc="971463DC" w:tentative="1">
      <w:start w:val="1"/>
      <w:numFmt w:val="bullet"/>
      <w:lvlText w:val="•"/>
      <w:lvlJc w:val="left"/>
      <w:pPr>
        <w:tabs>
          <w:tab w:val="num" w:pos="5040"/>
        </w:tabs>
        <w:ind w:left="5040" w:hanging="360"/>
      </w:pPr>
      <w:rPr>
        <w:rFonts w:ascii="Arial" w:hAnsi="Arial" w:hint="default"/>
      </w:rPr>
    </w:lvl>
    <w:lvl w:ilvl="7" w:tplc="5D725826" w:tentative="1">
      <w:start w:val="1"/>
      <w:numFmt w:val="bullet"/>
      <w:lvlText w:val="•"/>
      <w:lvlJc w:val="left"/>
      <w:pPr>
        <w:tabs>
          <w:tab w:val="num" w:pos="5760"/>
        </w:tabs>
        <w:ind w:left="5760" w:hanging="360"/>
      </w:pPr>
      <w:rPr>
        <w:rFonts w:ascii="Arial" w:hAnsi="Arial" w:hint="default"/>
      </w:rPr>
    </w:lvl>
    <w:lvl w:ilvl="8" w:tplc="1F72A1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FE109C"/>
    <w:multiLevelType w:val="hybridMultilevel"/>
    <w:tmpl w:val="BA42F610"/>
    <w:lvl w:ilvl="0" w:tplc="BCC20290">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2336F4F"/>
    <w:multiLevelType w:val="hybridMultilevel"/>
    <w:tmpl w:val="D72436B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4947C87"/>
    <w:multiLevelType w:val="hybridMultilevel"/>
    <w:tmpl w:val="4E462272"/>
    <w:lvl w:ilvl="0" w:tplc="BF3E5D38">
      <w:start w:val="1"/>
      <w:numFmt w:val="bullet"/>
      <w:lvlText w:val="•"/>
      <w:lvlJc w:val="left"/>
      <w:pPr>
        <w:tabs>
          <w:tab w:val="num" w:pos="720"/>
        </w:tabs>
        <w:ind w:left="720" w:hanging="360"/>
      </w:pPr>
      <w:rPr>
        <w:rFonts w:ascii="Arial" w:hAnsi="Arial" w:cs="Times New Roman" w:hint="default"/>
      </w:rPr>
    </w:lvl>
    <w:lvl w:ilvl="1" w:tplc="8DA2F13A">
      <w:start w:val="1"/>
      <w:numFmt w:val="bullet"/>
      <w:lvlText w:val="•"/>
      <w:lvlJc w:val="left"/>
      <w:pPr>
        <w:tabs>
          <w:tab w:val="num" w:pos="1440"/>
        </w:tabs>
        <w:ind w:left="1440" w:hanging="360"/>
      </w:pPr>
      <w:rPr>
        <w:rFonts w:ascii="Arial" w:hAnsi="Arial" w:cs="Times New Roman" w:hint="default"/>
      </w:rPr>
    </w:lvl>
    <w:lvl w:ilvl="2" w:tplc="C32AA1F4">
      <w:start w:val="1"/>
      <w:numFmt w:val="bullet"/>
      <w:lvlText w:val="•"/>
      <w:lvlJc w:val="left"/>
      <w:pPr>
        <w:tabs>
          <w:tab w:val="num" w:pos="2160"/>
        </w:tabs>
        <w:ind w:left="2160" w:hanging="360"/>
      </w:pPr>
      <w:rPr>
        <w:rFonts w:ascii="Arial" w:hAnsi="Arial" w:cs="Times New Roman" w:hint="default"/>
      </w:rPr>
    </w:lvl>
    <w:lvl w:ilvl="3" w:tplc="A6FA6E58">
      <w:start w:val="1"/>
      <w:numFmt w:val="bullet"/>
      <w:lvlText w:val="•"/>
      <w:lvlJc w:val="left"/>
      <w:pPr>
        <w:tabs>
          <w:tab w:val="num" w:pos="2880"/>
        </w:tabs>
        <w:ind w:left="2880" w:hanging="360"/>
      </w:pPr>
      <w:rPr>
        <w:rFonts w:ascii="Arial" w:hAnsi="Arial" w:cs="Times New Roman" w:hint="default"/>
      </w:rPr>
    </w:lvl>
    <w:lvl w:ilvl="4" w:tplc="AC88490E">
      <w:start w:val="1"/>
      <w:numFmt w:val="bullet"/>
      <w:lvlText w:val="•"/>
      <w:lvlJc w:val="left"/>
      <w:pPr>
        <w:tabs>
          <w:tab w:val="num" w:pos="3600"/>
        </w:tabs>
        <w:ind w:left="3600" w:hanging="360"/>
      </w:pPr>
      <w:rPr>
        <w:rFonts w:ascii="Arial" w:hAnsi="Arial" w:cs="Times New Roman" w:hint="default"/>
      </w:rPr>
    </w:lvl>
    <w:lvl w:ilvl="5" w:tplc="0E4CEFAA">
      <w:start w:val="1"/>
      <w:numFmt w:val="bullet"/>
      <w:lvlText w:val="•"/>
      <w:lvlJc w:val="left"/>
      <w:pPr>
        <w:tabs>
          <w:tab w:val="num" w:pos="4320"/>
        </w:tabs>
        <w:ind w:left="4320" w:hanging="360"/>
      </w:pPr>
      <w:rPr>
        <w:rFonts w:ascii="Arial" w:hAnsi="Arial" w:cs="Times New Roman" w:hint="default"/>
      </w:rPr>
    </w:lvl>
    <w:lvl w:ilvl="6" w:tplc="EA1CE09A">
      <w:start w:val="1"/>
      <w:numFmt w:val="bullet"/>
      <w:lvlText w:val="•"/>
      <w:lvlJc w:val="left"/>
      <w:pPr>
        <w:tabs>
          <w:tab w:val="num" w:pos="5040"/>
        </w:tabs>
        <w:ind w:left="5040" w:hanging="360"/>
      </w:pPr>
      <w:rPr>
        <w:rFonts w:ascii="Arial" w:hAnsi="Arial" w:cs="Times New Roman" w:hint="default"/>
      </w:rPr>
    </w:lvl>
    <w:lvl w:ilvl="7" w:tplc="FC447FD8">
      <w:start w:val="1"/>
      <w:numFmt w:val="bullet"/>
      <w:lvlText w:val="•"/>
      <w:lvlJc w:val="left"/>
      <w:pPr>
        <w:tabs>
          <w:tab w:val="num" w:pos="5760"/>
        </w:tabs>
        <w:ind w:left="5760" w:hanging="360"/>
      </w:pPr>
      <w:rPr>
        <w:rFonts w:ascii="Arial" w:hAnsi="Arial" w:cs="Times New Roman" w:hint="default"/>
      </w:rPr>
    </w:lvl>
    <w:lvl w:ilvl="8" w:tplc="E2F68CDE">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54AF781B"/>
    <w:multiLevelType w:val="hybridMultilevel"/>
    <w:tmpl w:val="03FAC77A"/>
    <w:lvl w:ilvl="0" w:tplc="23D278AC">
      <w:start w:val="1"/>
      <w:numFmt w:val="bullet"/>
      <w:lvlText w:val="•"/>
      <w:lvlJc w:val="left"/>
      <w:pPr>
        <w:tabs>
          <w:tab w:val="num" w:pos="720"/>
        </w:tabs>
        <w:ind w:left="720" w:hanging="360"/>
      </w:pPr>
      <w:rPr>
        <w:rFonts w:ascii="Arial" w:hAnsi="Arial" w:hint="default"/>
      </w:rPr>
    </w:lvl>
    <w:lvl w:ilvl="1" w:tplc="0026262E" w:tentative="1">
      <w:start w:val="1"/>
      <w:numFmt w:val="bullet"/>
      <w:lvlText w:val="•"/>
      <w:lvlJc w:val="left"/>
      <w:pPr>
        <w:tabs>
          <w:tab w:val="num" w:pos="1440"/>
        </w:tabs>
        <w:ind w:left="1440" w:hanging="360"/>
      </w:pPr>
      <w:rPr>
        <w:rFonts w:ascii="Arial" w:hAnsi="Arial" w:hint="default"/>
      </w:rPr>
    </w:lvl>
    <w:lvl w:ilvl="2" w:tplc="F8CC50F2" w:tentative="1">
      <w:start w:val="1"/>
      <w:numFmt w:val="bullet"/>
      <w:lvlText w:val="•"/>
      <w:lvlJc w:val="left"/>
      <w:pPr>
        <w:tabs>
          <w:tab w:val="num" w:pos="2160"/>
        </w:tabs>
        <w:ind w:left="2160" w:hanging="360"/>
      </w:pPr>
      <w:rPr>
        <w:rFonts w:ascii="Arial" w:hAnsi="Arial" w:hint="default"/>
      </w:rPr>
    </w:lvl>
    <w:lvl w:ilvl="3" w:tplc="D63EBBA2" w:tentative="1">
      <w:start w:val="1"/>
      <w:numFmt w:val="bullet"/>
      <w:lvlText w:val="•"/>
      <w:lvlJc w:val="left"/>
      <w:pPr>
        <w:tabs>
          <w:tab w:val="num" w:pos="2880"/>
        </w:tabs>
        <w:ind w:left="2880" w:hanging="360"/>
      </w:pPr>
      <w:rPr>
        <w:rFonts w:ascii="Arial" w:hAnsi="Arial" w:hint="default"/>
      </w:rPr>
    </w:lvl>
    <w:lvl w:ilvl="4" w:tplc="E020BF94" w:tentative="1">
      <w:start w:val="1"/>
      <w:numFmt w:val="bullet"/>
      <w:lvlText w:val="•"/>
      <w:lvlJc w:val="left"/>
      <w:pPr>
        <w:tabs>
          <w:tab w:val="num" w:pos="3600"/>
        </w:tabs>
        <w:ind w:left="3600" w:hanging="360"/>
      </w:pPr>
      <w:rPr>
        <w:rFonts w:ascii="Arial" w:hAnsi="Arial" w:hint="default"/>
      </w:rPr>
    </w:lvl>
    <w:lvl w:ilvl="5" w:tplc="0FD81812" w:tentative="1">
      <w:start w:val="1"/>
      <w:numFmt w:val="bullet"/>
      <w:lvlText w:val="•"/>
      <w:lvlJc w:val="left"/>
      <w:pPr>
        <w:tabs>
          <w:tab w:val="num" w:pos="4320"/>
        </w:tabs>
        <w:ind w:left="4320" w:hanging="360"/>
      </w:pPr>
      <w:rPr>
        <w:rFonts w:ascii="Arial" w:hAnsi="Arial" w:hint="default"/>
      </w:rPr>
    </w:lvl>
    <w:lvl w:ilvl="6" w:tplc="B178CFCA" w:tentative="1">
      <w:start w:val="1"/>
      <w:numFmt w:val="bullet"/>
      <w:lvlText w:val="•"/>
      <w:lvlJc w:val="left"/>
      <w:pPr>
        <w:tabs>
          <w:tab w:val="num" w:pos="5040"/>
        </w:tabs>
        <w:ind w:left="5040" w:hanging="360"/>
      </w:pPr>
      <w:rPr>
        <w:rFonts w:ascii="Arial" w:hAnsi="Arial" w:hint="default"/>
      </w:rPr>
    </w:lvl>
    <w:lvl w:ilvl="7" w:tplc="0DF84034" w:tentative="1">
      <w:start w:val="1"/>
      <w:numFmt w:val="bullet"/>
      <w:lvlText w:val="•"/>
      <w:lvlJc w:val="left"/>
      <w:pPr>
        <w:tabs>
          <w:tab w:val="num" w:pos="5760"/>
        </w:tabs>
        <w:ind w:left="5760" w:hanging="360"/>
      </w:pPr>
      <w:rPr>
        <w:rFonts w:ascii="Arial" w:hAnsi="Arial" w:hint="default"/>
      </w:rPr>
    </w:lvl>
    <w:lvl w:ilvl="8" w:tplc="70980E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98933E4"/>
    <w:multiLevelType w:val="hybridMultilevel"/>
    <w:tmpl w:val="52BED452"/>
    <w:lvl w:ilvl="0" w:tplc="6032D0E4">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65E70898"/>
    <w:multiLevelType w:val="hybridMultilevel"/>
    <w:tmpl w:val="D82A828A"/>
    <w:lvl w:ilvl="0" w:tplc="8C6EBE94">
      <w:start w:val="1"/>
      <w:numFmt w:val="bullet"/>
      <w:lvlText w:val="•"/>
      <w:lvlJc w:val="left"/>
      <w:pPr>
        <w:tabs>
          <w:tab w:val="num" w:pos="720"/>
        </w:tabs>
        <w:ind w:left="720" w:hanging="360"/>
      </w:pPr>
      <w:rPr>
        <w:rFonts w:ascii="Arial" w:hAnsi="Arial" w:cs="Times New Roman" w:hint="default"/>
      </w:rPr>
    </w:lvl>
    <w:lvl w:ilvl="1" w:tplc="BED232A6">
      <w:start w:val="1"/>
      <w:numFmt w:val="bullet"/>
      <w:lvlText w:val="•"/>
      <w:lvlJc w:val="left"/>
      <w:pPr>
        <w:tabs>
          <w:tab w:val="num" w:pos="1440"/>
        </w:tabs>
        <w:ind w:left="1440" w:hanging="360"/>
      </w:pPr>
      <w:rPr>
        <w:rFonts w:ascii="Arial" w:hAnsi="Arial" w:cs="Times New Roman" w:hint="default"/>
      </w:rPr>
    </w:lvl>
    <w:lvl w:ilvl="2" w:tplc="7DBE4224">
      <w:start w:val="1"/>
      <w:numFmt w:val="bullet"/>
      <w:lvlText w:val="•"/>
      <w:lvlJc w:val="left"/>
      <w:pPr>
        <w:tabs>
          <w:tab w:val="num" w:pos="2160"/>
        </w:tabs>
        <w:ind w:left="2160" w:hanging="360"/>
      </w:pPr>
      <w:rPr>
        <w:rFonts w:ascii="Arial" w:hAnsi="Arial" w:cs="Times New Roman" w:hint="default"/>
      </w:rPr>
    </w:lvl>
    <w:lvl w:ilvl="3" w:tplc="EBBE6568">
      <w:start w:val="1"/>
      <w:numFmt w:val="bullet"/>
      <w:lvlText w:val="•"/>
      <w:lvlJc w:val="left"/>
      <w:pPr>
        <w:tabs>
          <w:tab w:val="num" w:pos="2880"/>
        </w:tabs>
        <w:ind w:left="2880" w:hanging="360"/>
      </w:pPr>
      <w:rPr>
        <w:rFonts w:ascii="Arial" w:hAnsi="Arial" w:cs="Times New Roman" w:hint="default"/>
      </w:rPr>
    </w:lvl>
    <w:lvl w:ilvl="4" w:tplc="AC8AC78A">
      <w:start w:val="1"/>
      <w:numFmt w:val="bullet"/>
      <w:lvlText w:val="•"/>
      <w:lvlJc w:val="left"/>
      <w:pPr>
        <w:tabs>
          <w:tab w:val="num" w:pos="3600"/>
        </w:tabs>
        <w:ind w:left="3600" w:hanging="360"/>
      </w:pPr>
      <w:rPr>
        <w:rFonts w:ascii="Arial" w:hAnsi="Arial" w:cs="Times New Roman" w:hint="default"/>
      </w:rPr>
    </w:lvl>
    <w:lvl w:ilvl="5" w:tplc="8CA29660">
      <w:start w:val="1"/>
      <w:numFmt w:val="bullet"/>
      <w:lvlText w:val="•"/>
      <w:lvlJc w:val="left"/>
      <w:pPr>
        <w:tabs>
          <w:tab w:val="num" w:pos="4320"/>
        </w:tabs>
        <w:ind w:left="4320" w:hanging="360"/>
      </w:pPr>
      <w:rPr>
        <w:rFonts w:ascii="Arial" w:hAnsi="Arial" w:cs="Times New Roman" w:hint="default"/>
      </w:rPr>
    </w:lvl>
    <w:lvl w:ilvl="6" w:tplc="73945B28">
      <w:start w:val="1"/>
      <w:numFmt w:val="bullet"/>
      <w:lvlText w:val="•"/>
      <w:lvlJc w:val="left"/>
      <w:pPr>
        <w:tabs>
          <w:tab w:val="num" w:pos="5040"/>
        </w:tabs>
        <w:ind w:left="5040" w:hanging="360"/>
      </w:pPr>
      <w:rPr>
        <w:rFonts w:ascii="Arial" w:hAnsi="Arial" w:cs="Times New Roman" w:hint="default"/>
      </w:rPr>
    </w:lvl>
    <w:lvl w:ilvl="7" w:tplc="A7AAD668">
      <w:start w:val="1"/>
      <w:numFmt w:val="bullet"/>
      <w:lvlText w:val="•"/>
      <w:lvlJc w:val="left"/>
      <w:pPr>
        <w:tabs>
          <w:tab w:val="num" w:pos="5760"/>
        </w:tabs>
        <w:ind w:left="5760" w:hanging="360"/>
      </w:pPr>
      <w:rPr>
        <w:rFonts w:ascii="Arial" w:hAnsi="Arial" w:cs="Times New Roman" w:hint="default"/>
      </w:rPr>
    </w:lvl>
    <w:lvl w:ilvl="8" w:tplc="D1F42506">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6FCA793C"/>
    <w:multiLevelType w:val="hybridMultilevel"/>
    <w:tmpl w:val="AFFCC2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7ED0013"/>
    <w:multiLevelType w:val="hybridMultilevel"/>
    <w:tmpl w:val="26C810B8"/>
    <w:lvl w:ilvl="0" w:tplc="322C0ED2">
      <w:start w:val="1"/>
      <w:numFmt w:val="upperRoman"/>
      <w:pStyle w:val="Kop1"/>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9980A92"/>
    <w:multiLevelType w:val="hybridMultilevel"/>
    <w:tmpl w:val="69A2E2B4"/>
    <w:lvl w:ilvl="0" w:tplc="C1940624">
      <w:start w:val="1"/>
      <w:numFmt w:val="bullet"/>
      <w:lvlText w:val="•"/>
      <w:lvlJc w:val="left"/>
      <w:pPr>
        <w:tabs>
          <w:tab w:val="num" w:pos="720"/>
        </w:tabs>
        <w:ind w:left="720" w:hanging="360"/>
      </w:pPr>
      <w:rPr>
        <w:rFonts w:ascii="Arial" w:hAnsi="Arial" w:hint="default"/>
      </w:rPr>
    </w:lvl>
    <w:lvl w:ilvl="1" w:tplc="E3561826" w:tentative="1">
      <w:start w:val="1"/>
      <w:numFmt w:val="bullet"/>
      <w:lvlText w:val="•"/>
      <w:lvlJc w:val="left"/>
      <w:pPr>
        <w:tabs>
          <w:tab w:val="num" w:pos="1440"/>
        </w:tabs>
        <w:ind w:left="1440" w:hanging="360"/>
      </w:pPr>
      <w:rPr>
        <w:rFonts w:ascii="Arial" w:hAnsi="Arial" w:hint="default"/>
      </w:rPr>
    </w:lvl>
    <w:lvl w:ilvl="2" w:tplc="F07EA11C" w:tentative="1">
      <w:start w:val="1"/>
      <w:numFmt w:val="bullet"/>
      <w:lvlText w:val="•"/>
      <w:lvlJc w:val="left"/>
      <w:pPr>
        <w:tabs>
          <w:tab w:val="num" w:pos="2160"/>
        </w:tabs>
        <w:ind w:left="2160" w:hanging="360"/>
      </w:pPr>
      <w:rPr>
        <w:rFonts w:ascii="Arial" w:hAnsi="Arial" w:hint="default"/>
      </w:rPr>
    </w:lvl>
    <w:lvl w:ilvl="3" w:tplc="5590EFFC" w:tentative="1">
      <w:start w:val="1"/>
      <w:numFmt w:val="bullet"/>
      <w:lvlText w:val="•"/>
      <w:lvlJc w:val="left"/>
      <w:pPr>
        <w:tabs>
          <w:tab w:val="num" w:pos="2880"/>
        </w:tabs>
        <w:ind w:left="2880" w:hanging="360"/>
      </w:pPr>
      <w:rPr>
        <w:rFonts w:ascii="Arial" w:hAnsi="Arial" w:hint="default"/>
      </w:rPr>
    </w:lvl>
    <w:lvl w:ilvl="4" w:tplc="336AE1FA" w:tentative="1">
      <w:start w:val="1"/>
      <w:numFmt w:val="bullet"/>
      <w:lvlText w:val="•"/>
      <w:lvlJc w:val="left"/>
      <w:pPr>
        <w:tabs>
          <w:tab w:val="num" w:pos="3600"/>
        </w:tabs>
        <w:ind w:left="3600" w:hanging="360"/>
      </w:pPr>
      <w:rPr>
        <w:rFonts w:ascii="Arial" w:hAnsi="Arial" w:hint="default"/>
      </w:rPr>
    </w:lvl>
    <w:lvl w:ilvl="5" w:tplc="C06EEBC4" w:tentative="1">
      <w:start w:val="1"/>
      <w:numFmt w:val="bullet"/>
      <w:lvlText w:val="•"/>
      <w:lvlJc w:val="left"/>
      <w:pPr>
        <w:tabs>
          <w:tab w:val="num" w:pos="4320"/>
        </w:tabs>
        <w:ind w:left="4320" w:hanging="360"/>
      </w:pPr>
      <w:rPr>
        <w:rFonts w:ascii="Arial" w:hAnsi="Arial" w:hint="default"/>
      </w:rPr>
    </w:lvl>
    <w:lvl w:ilvl="6" w:tplc="7EB0A484" w:tentative="1">
      <w:start w:val="1"/>
      <w:numFmt w:val="bullet"/>
      <w:lvlText w:val="•"/>
      <w:lvlJc w:val="left"/>
      <w:pPr>
        <w:tabs>
          <w:tab w:val="num" w:pos="5040"/>
        </w:tabs>
        <w:ind w:left="5040" w:hanging="360"/>
      </w:pPr>
      <w:rPr>
        <w:rFonts w:ascii="Arial" w:hAnsi="Arial" w:hint="default"/>
      </w:rPr>
    </w:lvl>
    <w:lvl w:ilvl="7" w:tplc="E2D47408" w:tentative="1">
      <w:start w:val="1"/>
      <w:numFmt w:val="bullet"/>
      <w:lvlText w:val="•"/>
      <w:lvlJc w:val="left"/>
      <w:pPr>
        <w:tabs>
          <w:tab w:val="num" w:pos="5760"/>
        </w:tabs>
        <w:ind w:left="5760" w:hanging="360"/>
      </w:pPr>
      <w:rPr>
        <w:rFonts w:ascii="Arial" w:hAnsi="Arial" w:hint="default"/>
      </w:rPr>
    </w:lvl>
    <w:lvl w:ilvl="8" w:tplc="B636AA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ACB0E19"/>
    <w:multiLevelType w:val="hybridMultilevel"/>
    <w:tmpl w:val="F410934C"/>
    <w:lvl w:ilvl="0" w:tplc="5268D74A">
      <w:start w:val="1"/>
      <w:numFmt w:val="bullet"/>
      <w:lvlText w:val="•"/>
      <w:lvlJc w:val="left"/>
      <w:pPr>
        <w:tabs>
          <w:tab w:val="num" w:pos="720"/>
        </w:tabs>
        <w:ind w:left="720" w:hanging="360"/>
      </w:pPr>
      <w:rPr>
        <w:rFonts w:ascii="Arial" w:hAnsi="Arial" w:hint="default"/>
      </w:rPr>
    </w:lvl>
    <w:lvl w:ilvl="1" w:tplc="ADAC2CD6" w:tentative="1">
      <w:start w:val="1"/>
      <w:numFmt w:val="bullet"/>
      <w:lvlText w:val="•"/>
      <w:lvlJc w:val="left"/>
      <w:pPr>
        <w:tabs>
          <w:tab w:val="num" w:pos="1440"/>
        </w:tabs>
        <w:ind w:left="1440" w:hanging="360"/>
      </w:pPr>
      <w:rPr>
        <w:rFonts w:ascii="Arial" w:hAnsi="Arial" w:hint="default"/>
      </w:rPr>
    </w:lvl>
    <w:lvl w:ilvl="2" w:tplc="9242587C" w:tentative="1">
      <w:start w:val="1"/>
      <w:numFmt w:val="bullet"/>
      <w:lvlText w:val="•"/>
      <w:lvlJc w:val="left"/>
      <w:pPr>
        <w:tabs>
          <w:tab w:val="num" w:pos="2160"/>
        </w:tabs>
        <w:ind w:left="2160" w:hanging="360"/>
      </w:pPr>
      <w:rPr>
        <w:rFonts w:ascii="Arial" w:hAnsi="Arial" w:hint="default"/>
      </w:rPr>
    </w:lvl>
    <w:lvl w:ilvl="3" w:tplc="0F661274" w:tentative="1">
      <w:start w:val="1"/>
      <w:numFmt w:val="bullet"/>
      <w:lvlText w:val="•"/>
      <w:lvlJc w:val="left"/>
      <w:pPr>
        <w:tabs>
          <w:tab w:val="num" w:pos="2880"/>
        </w:tabs>
        <w:ind w:left="2880" w:hanging="360"/>
      </w:pPr>
      <w:rPr>
        <w:rFonts w:ascii="Arial" w:hAnsi="Arial" w:hint="default"/>
      </w:rPr>
    </w:lvl>
    <w:lvl w:ilvl="4" w:tplc="39062492" w:tentative="1">
      <w:start w:val="1"/>
      <w:numFmt w:val="bullet"/>
      <w:lvlText w:val="•"/>
      <w:lvlJc w:val="left"/>
      <w:pPr>
        <w:tabs>
          <w:tab w:val="num" w:pos="3600"/>
        </w:tabs>
        <w:ind w:left="3600" w:hanging="360"/>
      </w:pPr>
      <w:rPr>
        <w:rFonts w:ascii="Arial" w:hAnsi="Arial" w:hint="default"/>
      </w:rPr>
    </w:lvl>
    <w:lvl w:ilvl="5" w:tplc="5A141EAC" w:tentative="1">
      <w:start w:val="1"/>
      <w:numFmt w:val="bullet"/>
      <w:lvlText w:val="•"/>
      <w:lvlJc w:val="left"/>
      <w:pPr>
        <w:tabs>
          <w:tab w:val="num" w:pos="4320"/>
        </w:tabs>
        <w:ind w:left="4320" w:hanging="360"/>
      </w:pPr>
      <w:rPr>
        <w:rFonts w:ascii="Arial" w:hAnsi="Arial" w:hint="default"/>
      </w:rPr>
    </w:lvl>
    <w:lvl w:ilvl="6" w:tplc="F2FC63FE" w:tentative="1">
      <w:start w:val="1"/>
      <w:numFmt w:val="bullet"/>
      <w:lvlText w:val="•"/>
      <w:lvlJc w:val="left"/>
      <w:pPr>
        <w:tabs>
          <w:tab w:val="num" w:pos="5040"/>
        </w:tabs>
        <w:ind w:left="5040" w:hanging="360"/>
      </w:pPr>
      <w:rPr>
        <w:rFonts w:ascii="Arial" w:hAnsi="Arial" w:hint="default"/>
      </w:rPr>
    </w:lvl>
    <w:lvl w:ilvl="7" w:tplc="9C3AF912" w:tentative="1">
      <w:start w:val="1"/>
      <w:numFmt w:val="bullet"/>
      <w:lvlText w:val="•"/>
      <w:lvlJc w:val="left"/>
      <w:pPr>
        <w:tabs>
          <w:tab w:val="num" w:pos="5760"/>
        </w:tabs>
        <w:ind w:left="5760" w:hanging="360"/>
      </w:pPr>
      <w:rPr>
        <w:rFonts w:ascii="Arial" w:hAnsi="Arial" w:hint="default"/>
      </w:rPr>
    </w:lvl>
    <w:lvl w:ilvl="8" w:tplc="AB3A6CA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3"/>
  </w:num>
  <w:num w:numId="3">
    <w:abstractNumId w:val="13"/>
  </w:num>
  <w:num w:numId="4">
    <w:abstractNumId w:val="13"/>
  </w:num>
  <w:num w:numId="5">
    <w:abstractNumId w:val="13"/>
  </w:num>
  <w:num w:numId="6">
    <w:abstractNumId w:val="0"/>
  </w:num>
  <w:num w:numId="7">
    <w:abstractNumId w:val="7"/>
  </w:num>
  <w:num w:numId="8">
    <w:abstractNumId w:val="3"/>
  </w:num>
  <w:num w:numId="9">
    <w:abstractNumId w:val="12"/>
  </w:num>
  <w:num w:numId="10">
    <w:abstractNumId w:val="15"/>
  </w:num>
  <w:num w:numId="11">
    <w:abstractNumId w:val="5"/>
  </w:num>
  <w:num w:numId="12">
    <w:abstractNumId w:val="4"/>
  </w:num>
  <w:num w:numId="13">
    <w:abstractNumId w:val="14"/>
  </w:num>
  <w:num w:numId="14">
    <w:abstractNumId w:val="2"/>
  </w:num>
  <w:num w:numId="15">
    <w:abstractNumId w:val="9"/>
  </w:num>
  <w:num w:numId="16">
    <w:abstractNumId w:val="1"/>
  </w:num>
  <w:num w:numId="17">
    <w:abstractNumId w:val="8"/>
  </w:num>
  <w:num w:numId="18">
    <w:abstractNumId w:val="10"/>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54"/>
    <w:rsid w:val="00003137"/>
    <w:rsid w:val="000052EE"/>
    <w:rsid w:val="00005BD7"/>
    <w:rsid w:val="0000644F"/>
    <w:rsid w:val="000154D2"/>
    <w:rsid w:val="0001688E"/>
    <w:rsid w:val="00016C00"/>
    <w:rsid w:val="00023715"/>
    <w:rsid w:val="00043A91"/>
    <w:rsid w:val="00045149"/>
    <w:rsid w:val="0006260D"/>
    <w:rsid w:val="000631E0"/>
    <w:rsid w:val="00063962"/>
    <w:rsid w:val="00066CD7"/>
    <w:rsid w:val="000676B6"/>
    <w:rsid w:val="00081B9A"/>
    <w:rsid w:val="000827D6"/>
    <w:rsid w:val="00082D6F"/>
    <w:rsid w:val="000849E2"/>
    <w:rsid w:val="00084F90"/>
    <w:rsid w:val="00090D02"/>
    <w:rsid w:val="00090E63"/>
    <w:rsid w:val="00091912"/>
    <w:rsid w:val="00093AC4"/>
    <w:rsid w:val="00095597"/>
    <w:rsid w:val="000A6F48"/>
    <w:rsid w:val="000A6F95"/>
    <w:rsid w:val="000C1147"/>
    <w:rsid w:val="000C5151"/>
    <w:rsid w:val="000E1DF7"/>
    <w:rsid w:val="000E2D32"/>
    <w:rsid w:val="000E4C08"/>
    <w:rsid w:val="000E6EB8"/>
    <w:rsid w:val="000E7CFA"/>
    <w:rsid w:val="000F220D"/>
    <w:rsid w:val="000F2CEB"/>
    <w:rsid w:val="0010006C"/>
    <w:rsid w:val="00103C1D"/>
    <w:rsid w:val="0010692E"/>
    <w:rsid w:val="001071CF"/>
    <w:rsid w:val="00110614"/>
    <w:rsid w:val="001169B8"/>
    <w:rsid w:val="001229AB"/>
    <w:rsid w:val="00123F60"/>
    <w:rsid w:val="001322E8"/>
    <w:rsid w:val="0013519A"/>
    <w:rsid w:val="00135266"/>
    <w:rsid w:val="00141063"/>
    <w:rsid w:val="00142BB6"/>
    <w:rsid w:val="00144CC5"/>
    <w:rsid w:val="001504B1"/>
    <w:rsid w:val="0015127D"/>
    <w:rsid w:val="00157274"/>
    <w:rsid w:val="0015776C"/>
    <w:rsid w:val="00164755"/>
    <w:rsid w:val="00176632"/>
    <w:rsid w:val="00177547"/>
    <w:rsid w:val="001849FE"/>
    <w:rsid w:val="00193BC5"/>
    <w:rsid w:val="001A67EF"/>
    <w:rsid w:val="001C5882"/>
    <w:rsid w:val="001D2730"/>
    <w:rsid w:val="001D2967"/>
    <w:rsid w:val="001D5677"/>
    <w:rsid w:val="001E0990"/>
    <w:rsid w:val="00200728"/>
    <w:rsid w:val="00203F20"/>
    <w:rsid w:val="002066AB"/>
    <w:rsid w:val="00215CB9"/>
    <w:rsid w:val="00217433"/>
    <w:rsid w:val="002255D5"/>
    <w:rsid w:val="002311D2"/>
    <w:rsid w:val="00231732"/>
    <w:rsid w:val="00241289"/>
    <w:rsid w:val="0024223B"/>
    <w:rsid w:val="002543F8"/>
    <w:rsid w:val="00270C3D"/>
    <w:rsid w:val="00274B72"/>
    <w:rsid w:val="002774EB"/>
    <w:rsid w:val="00280216"/>
    <w:rsid w:val="00283D96"/>
    <w:rsid w:val="002A09A9"/>
    <w:rsid w:val="002B1CB2"/>
    <w:rsid w:val="002B22A3"/>
    <w:rsid w:val="002B437D"/>
    <w:rsid w:val="002B4FA9"/>
    <w:rsid w:val="002B69B8"/>
    <w:rsid w:val="002B73C3"/>
    <w:rsid w:val="002C0A51"/>
    <w:rsid w:val="002C5A30"/>
    <w:rsid w:val="002D1CED"/>
    <w:rsid w:val="002D2597"/>
    <w:rsid w:val="002D516B"/>
    <w:rsid w:val="002D6D7E"/>
    <w:rsid w:val="002D79B0"/>
    <w:rsid w:val="002E1E9B"/>
    <w:rsid w:val="002E436C"/>
    <w:rsid w:val="002E4E3C"/>
    <w:rsid w:val="002E5FBC"/>
    <w:rsid w:val="002F3BD2"/>
    <w:rsid w:val="002F5A5B"/>
    <w:rsid w:val="00310BAC"/>
    <w:rsid w:val="003122B1"/>
    <w:rsid w:val="00312D94"/>
    <w:rsid w:val="00314DCD"/>
    <w:rsid w:val="00321A0F"/>
    <w:rsid w:val="003232B0"/>
    <w:rsid w:val="0032538C"/>
    <w:rsid w:val="0032740D"/>
    <w:rsid w:val="0033013A"/>
    <w:rsid w:val="003403A9"/>
    <w:rsid w:val="003448C4"/>
    <w:rsid w:val="0035073D"/>
    <w:rsid w:val="00350776"/>
    <w:rsid w:val="00355AE4"/>
    <w:rsid w:val="0035678F"/>
    <w:rsid w:val="00362B74"/>
    <w:rsid w:val="00362C61"/>
    <w:rsid w:val="00372B6A"/>
    <w:rsid w:val="00375204"/>
    <w:rsid w:val="0038140B"/>
    <w:rsid w:val="00384322"/>
    <w:rsid w:val="00384F20"/>
    <w:rsid w:val="0038617C"/>
    <w:rsid w:val="003901E1"/>
    <w:rsid w:val="003A48DD"/>
    <w:rsid w:val="003A66B9"/>
    <w:rsid w:val="003B2BE4"/>
    <w:rsid w:val="003C1F76"/>
    <w:rsid w:val="003C59A7"/>
    <w:rsid w:val="003C6D13"/>
    <w:rsid w:val="003E0EB2"/>
    <w:rsid w:val="003F272F"/>
    <w:rsid w:val="003F348E"/>
    <w:rsid w:val="004072F8"/>
    <w:rsid w:val="00415FBC"/>
    <w:rsid w:val="00416C7B"/>
    <w:rsid w:val="00420EB0"/>
    <w:rsid w:val="004279AC"/>
    <w:rsid w:val="0043003A"/>
    <w:rsid w:val="004307BB"/>
    <w:rsid w:val="00437BAD"/>
    <w:rsid w:val="00441B1D"/>
    <w:rsid w:val="0044766D"/>
    <w:rsid w:val="0045055F"/>
    <w:rsid w:val="004541A3"/>
    <w:rsid w:val="00455281"/>
    <w:rsid w:val="00460150"/>
    <w:rsid w:val="004613CB"/>
    <w:rsid w:val="00463B6E"/>
    <w:rsid w:val="004710B0"/>
    <w:rsid w:val="00472B48"/>
    <w:rsid w:val="0048520B"/>
    <w:rsid w:val="00493EF4"/>
    <w:rsid w:val="004A05B8"/>
    <w:rsid w:val="004A2926"/>
    <w:rsid w:val="004A770D"/>
    <w:rsid w:val="004B5ED6"/>
    <w:rsid w:val="004C3817"/>
    <w:rsid w:val="004C60D5"/>
    <w:rsid w:val="004E1A04"/>
    <w:rsid w:val="00510F20"/>
    <w:rsid w:val="00511DE3"/>
    <w:rsid w:val="0051403C"/>
    <w:rsid w:val="005167CE"/>
    <w:rsid w:val="00523F28"/>
    <w:rsid w:val="00527131"/>
    <w:rsid w:val="005315BF"/>
    <w:rsid w:val="00532C48"/>
    <w:rsid w:val="00536D9C"/>
    <w:rsid w:val="00545E27"/>
    <w:rsid w:val="005466C8"/>
    <w:rsid w:val="00546B39"/>
    <w:rsid w:val="00551AD6"/>
    <w:rsid w:val="00554ED9"/>
    <w:rsid w:val="005567E0"/>
    <w:rsid w:val="0056506B"/>
    <w:rsid w:val="00570C33"/>
    <w:rsid w:val="00583D38"/>
    <w:rsid w:val="00586CA4"/>
    <w:rsid w:val="0058797C"/>
    <w:rsid w:val="005A0285"/>
    <w:rsid w:val="005B20CB"/>
    <w:rsid w:val="005C50C6"/>
    <w:rsid w:val="005C5B0C"/>
    <w:rsid w:val="005C74E9"/>
    <w:rsid w:val="005D1E56"/>
    <w:rsid w:val="005D29A9"/>
    <w:rsid w:val="005D65D7"/>
    <w:rsid w:val="005E0FCF"/>
    <w:rsid w:val="005E3520"/>
    <w:rsid w:val="005E3DEF"/>
    <w:rsid w:val="005E6AA7"/>
    <w:rsid w:val="005F1AAC"/>
    <w:rsid w:val="005F2AB0"/>
    <w:rsid w:val="005F4C76"/>
    <w:rsid w:val="005F68D7"/>
    <w:rsid w:val="00603EA4"/>
    <w:rsid w:val="00604620"/>
    <w:rsid w:val="006113EC"/>
    <w:rsid w:val="00611E0F"/>
    <w:rsid w:val="00613817"/>
    <w:rsid w:val="0061386B"/>
    <w:rsid w:val="00615E49"/>
    <w:rsid w:val="00616595"/>
    <w:rsid w:val="0062299E"/>
    <w:rsid w:val="00634D92"/>
    <w:rsid w:val="00636213"/>
    <w:rsid w:val="006373D6"/>
    <w:rsid w:val="00647AC8"/>
    <w:rsid w:val="00651732"/>
    <w:rsid w:val="00653EED"/>
    <w:rsid w:val="00657295"/>
    <w:rsid w:val="00662B8A"/>
    <w:rsid w:val="00663FAA"/>
    <w:rsid w:val="0066491D"/>
    <w:rsid w:val="006733DC"/>
    <w:rsid w:val="00674186"/>
    <w:rsid w:val="00685830"/>
    <w:rsid w:val="006906BA"/>
    <w:rsid w:val="006A01E9"/>
    <w:rsid w:val="006A044D"/>
    <w:rsid w:val="006A134A"/>
    <w:rsid w:val="006B37AC"/>
    <w:rsid w:val="006B3AAB"/>
    <w:rsid w:val="006B3CAC"/>
    <w:rsid w:val="006B5964"/>
    <w:rsid w:val="006B7430"/>
    <w:rsid w:val="006D13C6"/>
    <w:rsid w:val="006D2EBF"/>
    <w:rsid w:val="006D6ACE"/>
    <w:rsid w:val="006E0C0F"/>
    <w:rsid w:val="006E4950"/>
    <w:rsid w:val="006E5C3B"/>
    <w:rsid w:val="006F2BE8"/>
    <w:rsid w:val="00701333"/>
    <w:rsid w:val="00701944"/>
    <w:rsid w:val="00727E44"/>
    <w:rsid w:val="00730D31"/>
    <w:rsid w:val="00741A9B"/>
    <w:rsid w:val="0074240A"/>
    <w:rsid w:val="0074342C"/>
    <w:rsid w:val="0075301E"/>
    <w:rsid w:val="0076617A"/>
    <w:rsid w:val="00773CD6"/>
    <w:rsid w:val="007740D6"/>
    <w:rsid w:val="00797745"/>
    <w:rsid w:val="007A684B"/>
    <w:rsid w:val="007B19C7"/>
    <w:rsid w:val="007B1E56"/>
    <w:rsid w:val="007B4E5B"/>
    <w:rsid w:val="007B50BA"/>
    <w:rsid w:val="007C1604"/>
    <w:rsid w:val="007C18EE"/>
    <w:rsid w:val="007C470B"/>
    <w:rsid w:val="007D049B"/>
    <w:rsid w:val="007E1E7E"/>
    <w:rsid w:val="007F26A6"/>
    <w:rsid w:val="007F7229"/>
    <w:rsid w:val="00803754"/>
    <w:rsid w:val="008048F3"/>
    <w:rsid w:val="00805B7E"/>
    <w:rsid w:val="00806389"/>
    <w:rsid w:val="008063E4"/>
    <w:rsid w:val="00806AEC"/>
    <w:rsid w:val="00807020"/>
    <w:rsid w:val="008139CA"/>
    <w:rsid w:val="00815C88"/>
    <w:rsid w:val="00816E8C"/>
    <w:rsid w:val="00817BCD"/>
    <w:rsid w:val="00820815"/>
    <w:rsid w:val="008213FC"/>
    <w:rsid w:val="00823A91"/>
    <w:rsid w:val="008257E9"/>
    <w:rsid w:val="008258E4"/>
    <w:rsid w:val="00825D9C"/>
    <w:rsid w:val="008263A1"/>
    <w:rsid w:val="00833ACE"/>
    <w:rsid w:val="008362DB"/>
    <w:rsid w:val="008468E4"/>
    <w:rsid w:val="0084717B"/>
    <w:rsid w:val="00847B72"/>
    <w:rsid w:val="00851E2A"/>
    <w:rsid w:val="0085305D"/>
    <w:rsid w:val="008542DC"/>
    <w:rsid w:val="00856FC0"/>
    <w:rsid w:val="0086406C"/>
    <w:rsid w:val="00865C50"/>
    <w:rsid w:val="0087326A"/>
    <w:rsid w:val="00875A61"/>
    <w:rsid w:val="00883689"/>
    <w:rsid w:val="00884132"/>
    <w:rsid w:val="00885CA2"/>
    <w:rsid w:val="00885D6B"/>
    <w:rsid w:val="00887C94"/>
    <w:rsid w:val="00895643"/>
    <w:rsid w:val="008A1BDB"/>
    <w:rsid w:val="008A5547"/>
    <w:rsid w:val="008A7527"/>
    <w:rsid w:val="008A7AEE"/>
    <w:rsid w:val="008C201E"/>
    <w:rsid w:val="008D5301"/>
    <w:rsid w:val="008E3253"/>
    <w:rsid w:val="008F770B"/>
    <w:rsid w:val="00901648"/>
    <w:rsid w:val="00911A37"/>
    <w:rsid w:val="0091274E"/>
    <w:rsid w:val="00912FFF"/>
    <w:rsid w:val="00920B6F"/>
    <w:rsid w:val="00922517"/>
    <w:rsid w:val="009237A6"/>
    <w:rsid w:val="00924A24"/>
    <w:rsid w:val="00925E2D"/>
    <w:rsid w:val="00934842"/>
    <w:rsid w:val="00934FC3"/>
    <w:rsid w:val="00937A87"/>
    <w:rsid w:val="0094206F"/>
    <w:rsid w:val="0094577B"/>
    <w:rsid w:val="009462F1"/>
    <w:rsid w:val="0094792A"/>
    <w:rsid w:val="0095070E"/>
    <w:rsid w:val="00957D99"/>
    <w:rsid w:val="009759D8"/>
    <w:rsid w:val="0097667C"/>
    <w:rsid w:val="00984D44"/>
    <w:rsid w:val="0098794F"/>
    <w:rsid w:val="00992C36"/>
    <w:rsid w:val="00995FAD"/>
    <w:rsid w:val="009A4DF8"/>
    <w:rsid w:val="009B173E"/>
    <w:rsid w:val="009C2EA0"/>
    <w:rsid w:val="009D7BA2"/>
    <w:rsid w:val="009E1561"/>
    <w:rsid w:val="009F25D4"/>
    <w:rsid w:val="009F4523"/>
    <w:rsid w:val="00A0720E"/>
    <w:rsid w:val="00A32CD2"/>
    <w:rsid w:val="00A410E1"/>
    <w:rsid w:val="00A438C6"/>
    <w:rsid w:val="00A43DA6"/>
    <w:rsid w:val="00A443F4"/>
    <w:rsid w:val="00A46CED"/>
    <w:rsid w:val="00A51C3D"/>
    <w:rsid w:val="00A64B38"/>
    <w:rsid w:val="00A65816"/>
    <w:rsid w:val="00A75400"/>
    <w:rsid w:val="00A75FB7"/>
    <w:rsid w:val="00A7793F"/>
    <w:rsid w:val="00A81E78"/>
    <w:rsid w:val="00A82089"/>
    <w:rsid w:val="00A8511D"/>
    <w:rsid w:val="00A96B03"/>
    <w:rsid w:val="00AA0890"/>
    <w:rsid w:val="00AA1925"/>
    <w:rsid w:val="00AA1C89"/>
    <w:rsid w:val="00AB28C5"/>
    <w:rsid w:val="00AB527C"/>
    <w:rsid w:val="00AC4BB2"/>
    <w:rsid w:val="00AC7076"/>
    <w:rsid w:val="00AE3170"/>
    <w:rsid w:val="00AE32E3"/>
    <w:rsid w:val="00AE53A2"/>
    <w:rsid w:val="00AF0BE7"/>
    <w:rsid w:val="00AF0F47"/>
    <w:rsid w:val="00B05945"/>
    <w:rsid w:val="00B11CF9"/>
    <w:rsid w:val="00B11DDD"/>
    <w:rsid w:val="00B25FE9"/>
    <w:rsid w:val="00B26355"/>
    <w:rsid w:val="00B34CD0"/>
    <w:rsid w:val="00B5081A"/>
    <w:rsid w:val="00B52C9D"/>
    <w:rsid w:val="00B53C5C"/>
    <w:rsid w:val="00B551B5"/>
    <w:rsid w:val="00B552CF"/>
    <w:rsid w:val="00B57570"/>
    <w:rsid w:val="00B61E50"/>
    <w:rsid w:val="00B67452"/>
    <w:rsid w:val="00B744FE"/>
    <w:rsid w:val="00B76271"/>
    <w:rsid w:val="00B77866"/>
    <w:rsid w:val="00B84778"/>
    <w:rsid w:val="00B87D62"/>
    <w:rsid w:val="00B87F7A"/>
    <w:rsid w:val="00B9265C"/>
    <w:rsid w:val="00BB2EEF"/>
    <w:rsid w:val="00BC1813"/>
    <w:rsid w:val="00BC279E"/>
    <w:rsid w:val="00BC645B"/>
    <w:rsid w:val="00BD37B5"/>
    <w:rsid w:val="00BD74ED"/>
    <w:rsid w:val="00BE0456"/>
    <w:rsid w:val="00BF08F2"/>
    <w:rsid w:val="00BF51C1"/>
    <w:rsid w:val="00BF75A7"/>
    <w:rsid w:val="00C022C7"/>
    <w:rsid w:val="00C13BD3"/>
    <w:rsid w:val="00C14F13"/>
    <w:rsid w:val="00C23619"/>
    <w:rsid w:val="00C26473"/>
    <w:rsid w:val="00C36B22"/>
    <w:rsid w:val="00C56384"/>
    <w:rsid w:val="00C73888"/>
    <w:rsid w:val="00C82B1F"/>
    <w:rsid w:val="00C85B56"/>
    <w:rsid w:val="00C87D81"/>
    <w:rsid w:val="00C90417"/>
    <w:rsid w:val="00C94D97"/>
    <w:rsid w:val="00C95225"/>
    <w:rsid w:val="00C966A1"/>
    <w:rsid w:val="00C96F91"/>
    <w:rsid w:val="00CA4675"/>
    <w:rsid w:val="00CA62C7"/>
    <w:rsid w:val="00CB17FD"/>
    <w:rsid w:val="00CB721B"/>
    <w:rsid w:val="00CC016A"/>
    <w:rsid w:val="00CC02F9"/>
    <w:rsid w:val="00CC3BD0"/>
    <w:rsid w:val="00CC623C"/>
    <w:rsid w:val="00CD6FA7"/>
    <w:rsid w:val="00CE34FD"/>
    <w:rsid w:val="00CE540E"/>
    <w:rsid w:val="00CE66C1"/>
    <w:rsid w:val="00CF5BE5"/>
    <w:rsid w:val="00D01F85"/>
    <w:rsid w:val="00D03E90"/>
    <w:rsid w:val="00D06EDD"/>
    <w:rsid w:val="00D06FB9"/>
    <w:rsid w:val="00D0758D"/>
    <w:rsid w:val="00D1359F"/>
    <w:rsid w:val="00D14DF7"/>
    <w:rsid w:val="00D26F1C"/>
    <w:rsid w:val="00D305F5"/>
    <w:rsid w:val="00D310B5"/>
    <w:rsid w:val="00D35385"/>
    <w:rsid w:val="00D375F7"/>
    <w:rsid w:val="00D41667"/>
    <w:rsid w:val="00D43560"/>
    <w:rsid w:val="00D65962"/>
    <w:rsid w:val="00D82698"/>
    <w:rsid w:val="00D832A1"/>
    <w:rsid w:val="00D854FE"/>
    <w:rsid w:val="00D90F5A"/>
    <w:rsid w:val="00D94DFE"/>
    <w:rsid w:val="00D95DBF"/>
    <w:rsid w:val="00DA17BC"/>
    <w:rsid w:val="00DA75A4"/>
    <w:rsid w:val="00DB4C22"/>
    <w:rsid w:val="00DC2579"/>
    <w:rsid w:val="00DC5677"/>
    <w:rsid w:val="00DD22B8"/>
    <w:rsid w:val="00DD36FC"/>
    <w:rsid w:val="00DD5171"/>
    <w:rsid w:val="00DD66F1"/>
    <w:rsid w:val="00DD6759"/>
    <w:rsid w:val="00DE2C05"/>
    <w:rsid w:val="00E00CC7"/>
    <w:rsid w:val="00E0794E"/>
    <w:rsid w:val="00E15C9B"/>
    <w:rsid w:val="00E16A28"/>
    <w:rsid w:val="00E16C40"/>
    <w:rsid w:val="00E17BA0"/>
    <w:rsid w:val="00E2152B"/>
    <w:rsid w:val="00E24857"/>
    <w:rsid w:val="00E32432"/>
    <w:rsid w:val="00E410CE"/>
    <w:rsid w:val="00E50451"/>
    <w:rsid w:val="00E55246"/>
    <w:rsid w:val="00E5617A"/>
    <w:rsid w:val="00E57067"/>
    <w:rsid w:val="00E60AB8"/>
    <w:rsid w:val="00E657CE"/>
    <w:rsid w:val="00E65972"/>
    <w:rsid w:val="00E70150"/>
    <w:rsid w:val="00E70346"/>
    <w:rsid w:val="00E732F8"/>
    <w:rsid w:val="00E753D4"/>
    <w:rsid w:val="00E77987"/>
    <w:rsid w:val="00E84D6A"/>
    <w:rsid w:val="00E91055"/>
    <w:rsid w:val="00EA2071"/>
    <w:rsid w:val="00EA7A65"/>
    <w:rsid w:val="00EB7660"/>
    <w:rsid w:val="00EC1EB1"/>
    <w:rsid w:val="00EC20A9"/>
    <w:rsid w:val="00EC2567"/>
    <w:rsid w:val="00EC280E"/>
    <w:rsid w:val="00ED35DF"/>
    <w:rsid w:val="00ED77C0"/>
    <w:rsid w:val="00EE19C3"/>
    <w:rsid w:val="00EE3683"/>
    <w:rsid w:val="00EF7D37"/>
    <w:rsid w:val="00F124F4"/>
    <w:rsid w:val="00F15BB3"/>
    <w:rsid w:val="00F32165"/>
    <w:rsid w:val="00F33427"/>
    <w:rsid w:val="00F35C85"/>
    <w:rsid w:val="00F5029A"/>
    <w:rsid w:val="00F5305D"/>
    <w:rsid w:val="00F537EE"/>
    <w:rsid w:val="00F54890"/>
    <w:rsid w:val="00F55880"/>
    <w:rsid w:val="00F62CD2"/>
    <w:rsid w:val="00F66BD2"/>
    <w:rsid w:val="00F66F4C"/>
    <w:rsid w:val="00F7031C"/>
    <w:rsid w:val="00F74876"/>
    <w:rsid w:val="00F846EC"/>
    <w:rsid w:val="00F87837"/>
    <w:rsid w:val="00F87D95"/>
    <w:rsid w:val="00F9771D"/>
    <w:rsid w:val="00FA20C8"/>
    <w:rsid w:val="00FA22CF"/>
    <w:rsid w:val="00FA4F7B"/>
    <w:rsid w:val="00FB5387"/>
    <w:rsid w:val="00FB6BEB"/>
    <w:rsid w:val="00FE11C6"/>
    <w:rsid w:val="00FE2DE1"/>
    <w:rsid w:val="00FE4596"/>
    <w:rsid w:val="00FE6149"/>
    <w:rsid w:val="00FE7D4D"/>
    <w:rsid w:val="00FF046F"/>
    <w:rsid w:val="00FF0F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D49C"/>
  <w15:docId w15:val="{8FCF38D7-06C0-4009-9533-EA4D8188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16E8C"/>
    <w:rPr>
      <w:rFonts w:ascii="Arial" w:hAnsi="Arial"/>
      <w:szCs w:val="24"/>
      <w:lang w:eastAsia="nl-NL"/>
    </w:rPr>
  </w:style>
  <w:style w:type="paragraph" w:styleId="Kop1">
    <w:name w:val="heading 1"/>
    <w:basedOn w:val="Standaard"/>
    <w:next w:val="Standaard"/>
    <w:link w:val="Kop1Char"/>
    <w:qFormat/>
    <w:rsid w:val="00816E8C"/>
    <w:pPr>
      <w:keepNext/>
      <w:keepLines/>
      <w:numPr>
        <w:numId w:val="5"/>
      </w:numPr>
      <w:spacing w:before="480"/>
      <w:outlineLvl w:val="0"/>
    </w:pPr>
    <w:rPr>
      <w:rFonts w:eastAsiaTheme="majorEastAsia"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16E8C"/>
    <w:rPr>
      <w:rFonts w:ascii="Arial" w:eastAsiaTheme="majorEastAsia" w:hAnsi="Arial" w:cstheme="majorBidi"/>
      <w:b/>
      <w:bCs/>
      <w:color w:val="365F91" w:themeColor="accent1" w:themeShade="BF"/>
      <w:sz w:val="28"/>
      <w:szCs w:val="28"/>
      <w:lang w:val="nl-NL" w:eastAsia="nl-NL"/>
    </w:rPr>
  </w:style>
  <w:style w:type="paragraph" w:styleId="Ondertitel">
    <w:name w:val="Subtitle"/>
    <w:basedOn w:val="Standaard"/>
    <w:next w:val="Standaard"/>
    <w:link w:val="OndertitelChar"/>
    <w:qFormat/>
    <w:rsid w:val="00816E8C"/>
    <w:pPr>
      <w:numPr>
        <w:ilvl w:val="1"/>
      </w:numPr>
    </w:pPr>
    <w:rPr>
      <w:rFonts w:eastAsiaTheme="majorEastAsia" w:cstheme="majorBidi"/>
      <w:i/>
      <w:iCs/>
      <w:color w:val="4F81BD" w:themeColor="accent1"/>
      <w:spacing w:val="15"/>
      <w:sz w:val="24"/>
    </w:rPr>
  </w:style>
  <w:style w:type="character" w:customStyle="1" w:styleId="OndertitelChar">
    <w:name w:val="Ondertitel Char"/>
    <w:basedOn w:val="Standaardalinea-lettertype"/>
    <w:link w:val="Ondertitel"/>
    <w:rsid w:val="00816E8C"/>
    <w:rPr>
      <w:rFonts w:ascii="Arial" w:eastAsiaTheme="majorEastAsia" w:hAnsi="Arial" w:cstheme="majorBidi"/>
      <w:i/>
      <w:iCs/>
      <w:color w:val="4F81BD" w:themeColor="accent1"/>
      <w:spacing w:val="15"/>
      <w:sz w:val="24"/>
      <w:szCs w:val="24"/>
      <w:lang w:val="nl-NL" w:eastAsia="nl-NL"/>
    </w:rPr>
  </w:style>
  <w:style w:type="paragraph" w:styleId="Lijstalinea">
    <w:name w:val="List Paragraph"/>
    <w:basedOn w:val="Standaard"/>
    <w:uiPriority w:val="34"/>
    <w:qFormat/>
    <w:rsid w:val="00816E8C"/>
    <w:pPr>
      <w:ind w:left="720"/>
      <w:contextualSpacing/>
    </w:pPr>
  </w:style>
  <w:style w:type="paragraph" w:styleId="Normaalweb">
    <w:name w:val="Normal (Web)"/>
    <w:basedOn w:val="Standaard"/>
    <w:uiPriority w:val="99"/>
    <w:semiHidden/>
    <w:unhideWhenUsed/>
    <w:rsid w:val="00803754"/>
    <w:pPr>
      <w:spacing w:before="100" w:beforeAutospacing="1" w:after="262"/>
    </w:pPr>
    <w:rPr>
      <w:rFonts w:ascii="Times New Roman" w:hAnsi="Times New Roman"/>
      <w:color w:val="333333"/>
      <w:sz w:val="24"/>
      <w:lang w:eastAsia="nl-BE"/>
    </w:rPr>
  </w:style>
  <w:style w:type="character" w:styleId="Hyperlink">
    <w:name w:val="Hyperlink"/>
    <w:basedOn w:val="Standaardalinea-lettertype"/>
    <w:uiPriority w:val="99"/>
    <w:unhideWhenUsed/>
    <w:rsid w:val="00803754"/>
    <w:rPr>
      <w:color w:val="0000FF" w:themeColor="hyperlink"/>
      <w:u w:val="single"/>
    </w:rPr>
  </w:style>
  <w:style w:type="character" w:styleId="Zwaar">
    <w:name w:val="Strong"/>
    <w:basedOn w:val="Standaardalinea-lettertype"/>
    <w:uiPriority w:val="22"/>
    <w:qFormat/>
    <w:rsid w:val="00803754"/>
    <w:rPr>
      <w:b/>
      <w:bCs/>
    </w:rPr>
  </w:style>
  <w:style w:type="character" w:styleId="GevolgdeHyperlink">
    <w:name w:val="FollowedHyperlink"/>
    <w:basedOn w:val="Standaardalinea-lettertype"/>
    <w:uiPriority w:val="99"/>
    <w:semiHidden/>
    <w:unhideWhenUsed/>
    <w:rsid w:val="00BF08F2"/>
    <w:rPr>
      <w:color w:val="800080" w:themeColor="followedHyperlink"/>
      <w:u w:val="single"/>
    </w:rPr>
  </w:style>
  <w:style w:type="table" w:styleId="Tabelraster">
    <w:name w:val="Table Grid"/>
    <w:basedOn w:val="Standaardtabel"/>
    <w:uiPriority w:val="59"/>
    <w:rsid w:val="004307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F62CD2"/>
    <w:rPr>
      <w:szCs w:val="20"/>
    </w:rPr>
  </w:style>
  <w:style w:type="character" w:customStyle="1" w:styleId="VoetnoottekstChar">
    <w:name w:val="Voetnoottekst Char"/>
    <w:basedOn w:val="Standaardalinea-lettertype"/>
    <w:link w:val="Voetnoottekst"/>
    <w:uiPriority w:val="99"/>
    <w:semiHidden/>
    <w:rsid w:val="00F62CD2"/>
    <w:rPr>
      <w:rFonts w:ascii="Arial" w:hAnsi="Arial"/>
      <w:lang w:eastAsia="nl-NL"/>
    </w:rPr>
  </w:style>
  <w:style w:type="character" w:styleId="Voetnootmarkering">
    <w:name w:val="footnote reference"/>
    <w:basedOn w:val="Standaardalinea-lettertype"/>
    <w:uiPriority w:val="99"/>
    <w:semiHidden/>
    <w:unhideWhenUsed/>
    <w:rsid w:val="00F62CD2"/>
    <w:rPr>
      <w:vertAlign w:val="superscript"/>
    </w:rPr>
  </w:style>
  <w:style w:type="character" w:styleId="Verwijzingopmerking">
    <w:name w:val="annotation reference"/>
    <w:basedOn w:val="Standaardalinea-lettertype"/>
    <w:uiPriority w:val="99"/>
    <w:semiHidden/>
    <w:unhideWhenUsed/>
    <w:rsid w:val="00CE66C1"/>
    <w:rPr>
      <w:sz w:val="16"/>
      <w:szCs w:val="16"/>
    </w:rPr>
  </w:style>
  <w:style w:type="paragraph" w:styleId="Tekstopmerking">
    <w:name w:val="annotation text"/>
    <w:basedOn w:val="Standaard"/>
    <w:link w:val="TekstopmerkingChar"/>
    <w:uiPriority w:val="99"/>
    <w:semiHidden/>
    <w:unhideWhenUsed/>
    <w:rsid w:val="00CE66C1"/>
    <w:rPr>
      <w:szCs w:val="20"/>
    </w:rPr>
  </w:style>
  <w:style w:type="character" w:customStyle="1" w:styleId="TekstopmerkingChar">
    <w:name w:val="Tekst opmerking Char"/>
    <w:basedOn w:val="Standaardalinea-lettertype"/>
    <w:link w:val="Tekstopmerking"/>
    <w:uiPriority w:val="99"/>
    <w:semiHidden/>
    <w:rsid w:val="00CE66C1"/>
    <w:rPr>
      <w:rFonts w:ascii="Arial" w:hAnsi="Arial"/>
      <w:lang w:eastAsia="nl-NL"/>
    </w:rPr>
  </w:style>
  <w:style w:type="paragraph" w:styleId="Onderwerpvanopmerking">
    <w:name w:val="annotation subject"/>
    <w:basedOn w:val="Tekstopmerking"/>
    <w:next w:val="Tekstopmerking"/>
    <w:link w:val="OnderwerpvanopmerkingChar"/>
    <w:uiPriority w:val="99"/>
    <w:semiHidden/>
    <w:unhideWhenUsed/>
    <w:rsid w:val="00CE66C1"/>
    <w:rPr>
      <w:b/>
      <w:bCs/>
    </w:rPr>
  </w:style>
  <w:style w:type="character" w:customStyle="1" w:styleId="OnderwerpvanopmerkingChar">
    <w:name w:val="Onderwerp van opmerking Char"/>
    <w:basedOn w:val="TekstopmerkingChar"/>
    <w:link w:val="Onderwerpvanopmerking"/>
    <w:uiPriority w:val="99"/>
    <w:semiHidden/>
    <w:rsid w:val="00CE66C1"/>
    <w:rPr>
      <w:rFonts w:ascii="Arial" w:hAnsi="Arial"/>
      <w:b/>
      <w:bCs/>
      <w:lang w:eastAsia="nl-NL"/>
    </w:rPr>
  </w:style>
  <w:style w:type="paragraph" w:styleId="Ballontekst">
    <w:name w:val="Balloon Text"/>
    <w:basedOn w:val="Standaard"/>
    <w:link w:val="BallontekstChar"/>
    <w:uiPriority w:val="99"/>
    <w:semiHidden/>
    <w:unhideWhenUsed/>
    <w:rsid w:val="00CE66C1"/>
    <w:rPr>
      <w:rFonts w:ascii="Tahoma" w:hAnsi="Tahoma" w:cs="Tahoma"/>
      <w:sz w:val="16"/>
      <w:szCs w:val="16"/>
    </w:rPr>
  </w:style>
  <w:style w:type="character" w:customStyle="1" w:styleId="BallontekstChar">
    <w:name w:val="Ballontekst Char"/>
    <w:basedOn w:val="Standaardalinea-lettertype"/>
    <w:link w:val="Ballontekst"/>
    <w:uiPriority w:val="99"/>
    <w:semiHidden/>
    <w:rsid w:val="00CE66C1"/>
    <w:rPr>
      <w:rFonts w:ascii="Tahoma" w:hAnsi="Tahoma" w:cs="Tahoma"/>
      <w:sz w:val="16"/>
      <w:szCs w:val="16"/>
      <w:lang w:eastAsia="nl-NL"/>
    </w:rPr>
  </w:style>
  <w:style w:type="paragraph" w:styleId="Koptekst">
    <w:name w:val="header"/>
    <w:basedOn w:val="Standaard"/>
    <w:link w:val="KoptekstChar"/>
    <w:uiPriority w:val="99"/>
    <w:unhideWhenUsed/>
    <w:rsid w:val="0038140B"/>
    <w:pPr>
      <w:tabs>
        <w:tab w:val="center" w:pos="4536"/>
        <w:tab w:val="right" w:pos="9072"/>
      </w:tabs>
    </w:pPr>
  </w:style>
  <w:style w:type="character" w:customStyle="1" w:styleId="KoptekstChar">
    <w:name w:val="Koptekst Char"/>
    <w:basedOn w:val="Standaardalinea-lettertype"/>
    <w:link w:val="Koptekst"/>
    <w:uiPriority w:val="99"/>
    <w:rsid w:val="0038140B"/>
    <w:rPr>
      <w:rFonts w:ascii="Arial" w:hAnsi="Arial"/>
      <w:szCs w:val="24"/>
      <w:lang w:eastAsia="nl-NL"/>
    </w:rPr>
  </w:style>
  <w:style w:type="paragraph" w:styleId="Voettekst">
    <w:name w:val="footer"/>
    <w:basedOn w:val="Standaard"/>
    <w:link w:val="VoettekstChar"/>
    <w:uiPriority w:val="99"/>
    <w:unhideWhenUsed/>
    <w:rsid w:val="0038140B"/>
    <w:pPr>
      <w:tabs>
        <w:tab w:val="center" w:pos="4536"/>
        <w:tab w:val="right" w:pos="9072"/>
      </w:tabs>
    </w:pPr>
  </w:style>
  <w:style w:type="character" w:customStyle="1" w:styleId="VoettekstChar">
    <w:name w:val="Voettekst Char"/>
    <w:basedOn w:val="Standaardalinea-lettertype"/>
    <w:link w:val="Voettekst"/>
    <w:uiPriority w:val="99"/>
    <w:rsid w:val="0038140B"/>
    <w:rPr>
      <w:rFonts w:ascii="Arial" w:hAnsi="Arial"/>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2484">
      <w:bodyDiv w:val="1"/>
      <w:marLeft w:val="0"/>
      <w:marRight w:val="0"/>
      <w:marTop w:val="0"/>
      <w:marBottom w:val="0"/>
      <w:divBdr>
        <w:top w:val="none" w:sz="0" w:space="0" w:color="auto"/>
        <w:left w:val="none" w:sz="0" w:space="0" w:color="auto"/>
        <w:bottom w:val="none" w:sz="0" w:space="0" w:color="auto"/>
        <w:right w:val="none" w:sz="0" w:space="0" w:color="auto"/>
      </w:divBdr>
      <w:divsChild>
        <w:div w:id="808521032">
          <w:marLeft w:val="547"/>
          <w:marRight w:val="0"/>
          <w:marTop w:val="154"/>
          <w:marBottom w:val="0"/>
          <w:divBdr>
            <w:top w:val="none" w:sz="0" w:space="0" w:color="auto"/>
            <w:left w:val="none" w:sz="0" w:space="0" w:color="auto"/>
            <w:bottom w:val="none" w:sz="0" w:space="0" w:color="auto"/>
            <w:right w:val="none" w:sz="0" w:space="0" w:color="auto"/>
          </w:divBdr>
        </w:div>
      </w:divsChild>
    </w:div>
    <w:div w:id="257372068">
      <w:bodyDiv w:val="1"/>
      <w:marLeft w:val="0"/>
      <w:marRight w:val="0"/>
      <w:marTop w:val="0"/>
      <w:marBottom w:val="0"/>
      <w:divBdr>
        <w:top w:val="none" w:sz="0" w:space="0" w:color="auto"/>
        <w:left w:val="none" w:sz="0" w:space="0" w:color="auto"/>
        <w:bottom w:val="none" w:sz="0" w:space="0" w:color="auto"/>
        <w:right w:val="none" w:sz="0" w:space="0" w:color="auto"/>
      </w:divBdr>
      <w:divsChild>
        <w:div w:id="80682121">
          <w:marLeft w:val="547"/>
          <w:marRight w:val="0"/>
          <w:marTop w:val="154"/>
          <w:marBottom w:val="0"/>
          <w:divBdr>
            <w:top w:val="none" w:sz="0" w:space="0" w:color="auto"/>
            <w:left w:val="none" w:sz="0" w:space="0" w:color="auto"/>
            <w:bottom w:val="none" w:sz="0" w:space="0" w:color="auto"/>
            <w:right w:val="none" w:sz="0" w:space="0" w:color="auto"/>
          </w:divBdr>
        </w:div>
        <w:div w:id="1319291">
          <w:marLeft w:val="547"/>
          <w:marRight w:val="0"/>
          <w:marTop w:val="154"/>
          <w:marBottom w:val="0"/>
          <w:divBdr>
            <w:top w:val="none" w:sz="0" w:space="0" w:color="auto"/>
            <w:left w:val="none" w:sz="0" w:space="0" w:color="auto"/>
            <w:bottom w:val="none" w:sz="0" w:space="0" w:color="auto"/>
            <w:right w:val="none" w:sz="0" w:space="0" w:color="auto"/>
          </w:divBdr>
        </w:div>
      </w:divsChild>
    </w:div>
    <w:div w:id="275254325">
      <w:bodyDiv w:val="1"/>
      <w:marLeft w:val="0"/>
      <w:marRight w:val="0"/>
      <w:marTop w:val="0"/>
      <w:marBottom w:val="0"/>
      <w:divBdr>
        <w:top w:val="none" w:sz="0" w:space="0" w:color="auto"/>
        <w:left w:val="none" w:sz="0" w:space="0" w:color="auto"/>
        <w:bottom w:val="none" w:sz="0" w:space="0" w:color="auto"/>
        <w:right w:val="none" w:sz="0" w:space="0" w:color="auto"/>
      </w:divBdr>
      <w:divsChild>
        <w:div w:id="899756559">
          <w:marLeft w:val="547"/>
          <w:marRight w:val="0"/>
          <w:marTop w:val="120"/>
          <w:marBottom w:val="0"/>
          <w:divBdr>
            <w:top w:val="none" w:sz="0" w:space="0" w:color="auto"/>
            <w:left w:val="none" w:sz="0" w:space="0" w:color="auto"/>
            <w:bottom w:val="none" w:sz="0" w:space="0" w:color="auto"/>
            <w:right w:val="none" w:sz="0" w:space="0" w:color="auto"/>
          </w:divBdr>
        </w:div>
        <w:div w:id="1012295971">
          <w:marLeft w:val="547"/>
          <w:marRight w:val="0"/>
          <w:marTop w:val="120"/>
          <w:marBottom w:val="0"/>
          <w:divBdr>
            <w:top w:val="none" w:sz="0" w:space="0" w:color="auto"/>
            <w:left w:val="none" w:sz="0" w:space="0" w:color="auto"/>
            <w:bottom w:val="none" w:sz="0" w:space="0" w:color="auto"/>
            <w:right w:val="none" w:sz="0" w:space="0" w:color="auto"/>
          </w:divBdr>
        </w:div>
        <w:div w:id="1900244296">
          <w:marLeft w:val="547"/>
          <w:marRight w:val="0"/>
          <w:marTop w:val="120"/>
          <w:marBottom w:val="0"/>
          <w:divBdr>
            <w:top w:val="none" w:sz="0" w:space="0" w:color="auto"/>
            <w:left w:val="none" w:sz="0" w:space="0" w:color="auto"/>
            <w:bottom w:val="none" w:sz="0" w:space="0" w:color="auto"/>
            <w:right w:val="none" w:sz="0" w:space="0" w:color="auto"/>
          </w:divBdr>
        </w:div>
        <w:div w:id="1026903756">
          <w:marLeft w:val="547"/>
          <w:marRight w:val="0"/>
          <w:marTop w:val="120"/>
          <w:marBottom w:val="0"/>
          <w:divBdr>
            <w:top w:val="none" w:sz="0" w:space="0" w:color="auto"/>
            <w:left w:val="none" w:sz="0" w:space="0" w:color="auto"/>
            <w:bottom w:val="none" w:sz="0" w:space="0" w:color="auto"/>
            <w:right w:val="none" w:sz="0" w:space="0" w:color="auto"/>
          </w:divBdr>
        </w:div>
      </w:divsChild>
    </w:div>
    <w:div w:id="582646466">
      <w:bodyDiv w:val="1"/>
      <w:marLeft w:val="0"/>
      <w:marRight w:val="0"/>
      <w:marTop w:val="0"/>
      <w:marBottom w:val="0"/>
      <w:divBdr>
        <w:top w:val="none" w:sz="0" w:space="0" w:color="auto"/>
        <w:left w:val="none" w:sz="0" w:space="0" w:color="auto"/>
        <w:bottom w:val="none" w:sz="0" w:space="0" w:color="auto"/>
        <w:right w:val="none" w:sz="0" w:space="0" w:color="auto"/>
      </w:divBdr>
    </w:div>
    <w:div w:id="850022848">
      <w:bodyDiv w:val="1"/>
      <w:marLeft w:val="0"/>
      <w:marRight w:val="0"/>
      <w:marTop w:val="0"/>
      <w:marBottom w:val="0"/>
      <w:divBdr>
        <w:top w:val="none" w:sz="0" w:space="0" w:color="auto"/>
        <w:left w:val="none" w:sz="0" w:space="0" w:color="auto"/>
        <w:bottom w:val="none" w:sz="0" w:space="0" w:color="auto"/>
        <w:right w:val="none" w:sz="0" w:space="0" w:color="auto"/>
      </w:divBdr>
    </w:div>
    <w:div w:id="970402235">
      <w:bodyDiv w:val="1"/>
      <w:marLeft w:val="0"/>
      <w:marRight w:val="0"/>
      <w:marTop w:val="0"/>
      <w:marBottom w:val="0"/>
      <w:divBdr>
        <w:top w:val="none" w:sz="0" w:space="0" w:color="auto"/>
        <w:left w:val="none" w:sz="0" w:space="0" w:color="auto"/>
        <w:bottom w:val="none" w:sz="0" w:space="0" w:color="auto"/>
        <w:right w:val="none" w:sz="0" w:space="0" w:color="auto"/>
      </w:divBdr>
      <w:divsChild>
        <w:div w:id="1592665375">
          <w:marLeft w:val="0"/>
          <w:marRight w:val="0"/>
          <w:marTop w:val="0"/>
          <w:marBottom w:val="0"/>
          <w:divBdr>
            <w:top w:val="none" w:sz="0" w:space="0" w:color="auto"/>
            <w:left w:val="none" w:sz="0" w:space="0" w:color="auto"/>
            <w:bottom w:val="none" w:sz="0" w:space="0" w:color="auto"/>
            <w:right w:val="none" w:sz="0" w:space="0" w:color="auto"/>
          </w:divBdr>
        </w:div>
      </w:divsChild>
    </w:div>
    <w:div w:id="983437007">
      <w:bodyDiv w:val="1"/>
      <w:marLeft w:val="0"/>
      <w:marRight w:val="0"/>
      <w:marTop w:val="0"/>
      <w:marBottom w:val="0"/>
      <w:divBdr>
        <w:top w:val="none" w:sz="0" w:space="0" w:color="auto"/>
        <w:left w:val="none" w:sz="0" w:space="0" w:color="auto"/>
        <w:bottom w:val="none" w:sz="0" w:space="0" w:color="auto"/>
        <w:right w:val="none" w:sz="0" w:space="0" w:color="auto"/>
      </w:divBdr>
      <w:divsChild>
        <w:div w:id="1712150225">
          <w:marLeft w:val="547"/>
          <w:marRight w:val="0"/>
          <w:marTop w:val="154"/>
          <w:marBottom w:val="0"/>
          <w:divBdr>
            <w:top w:val="none" w:sz="0" w:space="0" w:color="auto"/>
            <w:left w:val="none" w:sz="0" w:space="0" w:color="auto"/>
            <w:bottom w:val="none" w:sz="0" w:space="0" w:color="auto"/>
            <w:right w:val="none" w:sz="0" w:space="0" w:color="auto"/>
          </w:divBdr>
        </w:div>
      </w:divsChild>
    </w:div>
    <w:div w:id="1457137318">
      <w:bodyDiv w:val="1"/>
      <w:marLeft w:val="0"/>
      <w:marRight w:val="0"/>
      <w:marTop w:val="0"/>
      <w:marBottom w:val="0"/>
      <w:divBdr>
        <w:top w:val="none" w:sz="0" w:space="0" w:color="auto"/>
        <w:left w:val="none" w:sz="0" w:space="0" w:color="auto"/>
        <w:bottom w:val="none" w:sz="0" w:space="0" w:color="auto"/>
        <w:right w:val="none" w:sz="0" w:space="0" w:color="auto"/>
      </w:divBdr>
      <w:divsChild>
        <w:div w:id="1319115650">
          <w:marLeft w:val="547"/>
          <w:marRight w:val="0"/>
          <w:marTop w:val="106"/>
          <w:marBottom w:val="0"/>
          <w:divBdr>
            <w:top w:val="none" w:sz="0" w:space="0" w:color="auto"/>
            <w:left w:val="none" w:sz="0" w:space="0" w:color="auto"/>
            <w:bottom w:val="none" w:sz="0" w:space="0" w:color="auto"/>
            <w:right w:val="none" w:sz="0" w:space="0" w:color="auto"/>
          </w:divBdr>
        </w:div>
      </w:divsChild>
    </w:div>
    <w:div w:id="1457678536">
      <w:bodyDiv w:val="1"/>
      <w:marLeft w:val="0"/>
      <w:marRight w:val="0"/>
      <w:marTop w:val="0"/>
      <w:marBottom w:val="0"/>
      <w:divBdr>
        <w:top w:val="none" w:sz="0" w:space="0" w:color="auto"/>
        <w:left w:val="none" w:sz="0" w:space="0" w:color="auto"/>
        <w:bottom w:val="none" w:sz="0" w:space="0" w:color="auto"/>
        <w:right w:val="none" w:sz="0" w:space="0" w:color="auto"/>
      </w:divBdr>
      <w:divsChild>
        <w:div w:id="1978679419">
          <w:marLeft w:val="0"/>
          <w:marRight w:val="0"/>
          <w:marTop w:val="0"/>
          <w:marBottom w:val="0"/>
          <w:divBdr>
            <w:top w:val="none" w:sz="0" w:space="0" w:color="auto"/>
            <w:left w:val="none" w:sz="0" w:space="0" w:color="auto"/>
            <w:bottom w:val="none" w:sz="0" w:space="0" w:color="auto"/>
            <w:right w:val="none" w:sz="0" w:space="0" w:color="auto"/>
          </w:divBdr>
          <w:divsChild>
            <w:div w:id="1320692028">
              <w:marLeft w:val="0"/>
              <w:marRight w:val="0"/>
              <w:marTop w:val="0"/>
              <w:marBottom w:val="0"/>
              <w:divBdr>
                <w:top w:val="none" w:sz="0" w:space="0" w:color="auto"/>
                <w:left w:val="none" w:sz="0" w:space="0" w:color="auto"/>
                <w:bottom w:val="none" w:sz="0" w:space="0" w:color="auto"/>
                <w:right w:val="none" w:sz="0" w:space="0" w:color="auto"/>
              </w:divBdr>
              <w:divsChild>
                <w:div w:id="1749839074">
                  <w:marLeft w:val="0"/>
                  <w:marRight w:val="0"/>
                  <w:marTop w:val="0"/>
                  <w:marBottom w:val="785"/>
                  <w:divBdr>
                    <w:top w:val="none" w:sz="0" w:space="0" w:color="auto"/>
                    <w:left w:val="none" w:sz="0" w:space="0" w:color="auto"/>
                    <w:bottom w:val="none" w:sz="0" w:space="0" w:color="auto"/>
                    <w:right w:val="none" w:sz="0" w:space="0" w:color="auto"/>
                  </w:divBdr>
                  <w:divsChild>
                    <w:div w:id="927077824">
                      <w:marLeft w:val="262"/>
                      <w:marRight w:val="0"/>
                      <w:marTop w:val="0"/>
                      <w:marBottom w:val="0"/>
                      <w:divBdr>
                        <w:top w:val="none" w:sz="0" w:space="0" w:color="auto"/>
                        <w:left w:val="none" w:sz="0" w:space="0" w:color="auto"/>
                        <w:bottom w:val="none" w:sz="0" w:space="0" w:color="auto"/>
                        <w:right w:val="none" w:sz="0" w:space="0" w:color="auto"/>
                      </w:divBdr>
                      <w:divsChild>
                        <w:div w:id="86197401">
                          <w:marLeft w:val="0"/>
                          <w:marRight w:val="0"/>
                          <w:marTop w:val="0"/>
                          <w:marBottom w:val="0"/>
                          <w:divBdr>
                            <w:top w:val="none" w:sz="0" w:space="0" w:color="auto"/>
                            <w:left w:val="none" w:sz="0" w:space="0" w:color="auto"/>
                            <w:bottom w:val="none" w:sz="0" w:space="0" w:color="auto"/>
                            <w:right w:val="none" w:sz="0" w:space="0" w:color="auto"/>
                          </w:divBdr>
                          <w:divsChild>
                            <w:div w:id="14201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225079">
      <w:bodyDiv w:val="1"/>
      <w:marLeft w:val="0"/>
      <w:marRight w:val="0"/>
      <w:marTop w:val="0"/>
      <w:marBottom w:val="0"/>
      <w:divBdr>
        <w:top w:val="none" w:sz="0" w:space="0" w:color="auto"/>
        <w:left w:val="none" w:sz="0" w:space="0" w:color="auto"/>
        <w:bottom w:val="none" w:sz="0" w:space="0" w:color="auto"/>
        <w:right w:val="none" w:sz="0" w:space="0" w:color="auto"/>
      </w:divBdr>
    </w:div>
    <w:div w:id="1861507734">
      <w:bodyDiv w:val="1"/>
      <w:marLeft w:val="0"/>
      <w:marRight w:val="0"/>
      <w:marTop w:val="0"/>
      <w:marBottom w:val="0"/>
      <w:divBdr>
        <w:top w:val="none" w:sz="0" w:space="0" w:color="auto"/>
        <w:left w:val="none" w:sz="0" w:space="0" w:color="auto"/>
        <w:bottom w:val="none" w:sz="0" w:space="0" w:color="auto"/>
        <w:right w:val="none" w:sz="0" w:space="0" w:color="auto"/>
      </w:divBdr>
      <w:divsChild>
        <w:div w:id="1555041257">
          <w:marLeft w:val="547"/>
          <w:marRight w:val="0"/>
          <w:marTop w:val="120"/>
          <w:marBottom w:val="0"/>
          <w:divBdr>
            <w:top w:val="none" w:sz="0" w:space="0" w:color="auto"/>
            <w:left w:val="none" w:sz="0" w:space="0" w:color="auto"/>
            <w:bottom w:val="none" w:sz="0" w:space="0" w:color="auto"/>
            <w:right w:val="none" w:sz="0" w:space="0" w:color="auto"/>
          </w:divBdr>
        </w:div>
      </w:divsChild>
    </w:div>
    <w:div w:id="1927226165">
      <w:bodyDiv w:val="1"/>
      <w:marLeft w:val="0"/>
      <w:marRight w:val="0"/>
      <w:marTop w:val="0"/>
      <w:marBottom w:val="0"/>
      <w:divBdr>
        <w:top w:val="none" w:sz="0" w:space="0" w:color="auto"/>
        <w:left w:val="none" w:sz="0" w:space="0" w:color="auto"/>
        <w:bottom w:val="none" w:sz="0" w:space="0" w:color="auto"/>
        <w:right w:val="none" w:sz="0" w:space="0" w:color="auto"/>
      </w:divBdr>
      <w:divsChild>
        <w:div w:id="945817590">
          <w:marLeft w:val="547"/>
          <w:marRight w:val="0"/>
          <w:marTop w:val="120"/>
          <w:marBottom w:val="0"/>
          <w:divBdr>
            <w:top w:val="none" w:sz="0" w:space="0" w:color="auto"/>
            <w:left w:val="none" w:sz="0" w:space="0" w:color="auto"/>
            <w:bottom w:val="none" w:sz="0" w:space="0" w:color="auto"/>
            <w:right w:val="none" w:sz="0" w:space="0" w:color="auto"/>
          </w:divBdr>
        </w:div>
      </w:divsChild>
    </w:div>
    <w:div w:id="2074427975">
      <w:bodyDiv w:val="1"/>
      <w:marLeft w:val="0"/>
      <w:marRight w:val="0"/>
      <w:marTop w:val="0"/>
      <w:marBottom w:val="0"/>
      <w:divBdr>
        <w:top w:val="none" w:sz="0" w:space="0" w:color="auto"/>
        <w:left w:val="none" w:sz="0" w:space="0" w:color="auto"/>
        <w:bottom w:val="none" w:sz="0" w:space="0" w:color="auto"/>
        <w:right w:val="none" w:sz="0" w:space="0" w:color="auto"/>
      </w:divBdr>
      <w:divsChild>
        <w:div w:id="1042176183">
          <w:marLeft w:val="0"/>
          <w:marRight w:val="0"/>
          <w:marTop w:val="0"/>
          <w:marBottom w:val="0"/>
          <w:divBdr>
            <w:top w:val="none" w:sz="0" w:space="0" w:color="auto"/>
            <w:left w:val="none" w:sz="0" w:space="0" w:color="auto"/>
            <w:bottom w:val="none" w:sz="0" w:space="0" w:color="auto"/>
            <w:right w:val="none" w:sz="0" w:space="0" w:color="auto"/>
          </w:divBdr>
          <w:divsChild>
            <w:div w:id="1366172873">
              <w:marLeft w:val="0"/>
              <w:marRight w:val="0"/>
              <w:marTop w:val="0"/>
              <w:marBottom w:val="0"/>
              <w:divBdr>
                <w:top w:val="none" w:sz="0" w:space="0" w:color="auto"/>
                <w:left w:val="none" w:sz="0" w:space="0" w:color="auto"/>
                <w:bottom w:val="none" w:sz="0" w:space="0" w:color="auto"/>
                <w:right w:val="none" w:sz="0" w:space="0" w:color="auto"/>
              </w:divBdr>
              <w:divsChild>
                <w:div w:id="806313606">
                  <w:marLeft w:val="0"/>
                  <w:marRight w:val="0"/>
                  <w:marTop w:val="0"/>
                  <w:marBottom w:val="785"/>
                  <w:divBdr>
                    <w:top w:val="none" w:sz="0" w:space="0" w:color="auto"/>
                    <w:left w:val="none" w:sz="0" w:space="0" w:color="auto"/>
                    <w:bottom w:val="none" w:sz="0" w:space="0" w:color="auto"/>
                    <w:right w:val="none" w:sz="0" w:space="0" w:color="auto"/>
                  </w:divBdr>
                  <w:divsChild>
                    <w:div w:id="629632903">
                      <w:marLeft w:val="0"/>
                      <w:marRight w:val="0"/>
                      <w:marTop w:val="0"/>
                      <w:marBottom w:val="0"/>
                      <w:divBdr>
                        <w:top w:val="none" w:sz="0" w:space="0" w:color="auto"/>
                        <w:left w:val="none" w:sz="0" w:space="0" w:color="auto"/>
                        <w:bottom w:val="none" w:sz="0" w:space="0" w:color="auto"/>
                        <w:right w:val="none" w:sz="0" w:space="0" w:color="auto"/>
                      </w:divBdr>
                      <w:divsChild>
                        <w:div w:id="1750498367">
                          <w:marLeft w:val="0"/>
                          <w:marRight w:val="0"/>
                          <w:marTop w:val="0"/>
                          <w:marBottom w:val="0"/>
                          <w:divBdr>
                            <w:top w:val="none" w:sz="0" w:space="0" w:color="auto"/>
                            <w:left w:val="none" w:sz="0" w:space="0" w:color="auto"/>
                            <w:bottom w:val="none" w:sz="0" w:space="0" w:color="auto"/>
                            <w:right w:val="none" w:sz="0" w:space="0" w:color="auto"/>
                          </w:divBdr>
                          <w:divsChild>
                            <w:div w:id="650214561">
                              <w:marLeft w:val="0"/>
                              <w:marRight w:val="0"/>
                              <w:marTop w:val="0"/>
                              <w:marBottom w:val="0"/>
                              <w:divBdr>
                                <w:top w:val="none" w:sz="0" w:space="0" w:color="auto"/>
                                <w:left w:val="none" w:sz="0" w:space="0" w:color="auto"/>
                                <w:bottom w:val="none" w:sz="0" w:space="0" w:color="auto"/>
                                <w:right w:val="none" w:sz="0" w:space="0" w:color="auto"/>
                              </w:divBdr>
                              <w:divsChild>
                                <w:div w:id="1174417385">
                                  <w:marLeft w:val="0"/>
                                  <w:marRight w:val="0"/>
                                  <w:marTop w:val="0"/>
                                  <w:marBottom w:val="0"/>
                                  <w:divBdr>
                                    <w:top w:val="none" w:sz="0" w:space="0" w:color="auto"/>
                                    <w:left w:val="none" w:sz="0" w:space="0" w:color="auto"/>
                                    <w:bottom w:val="none" w:sz="0" w:space="0" w:color="auto"/>
                                    <w:right w:val="none" w:sz="0" w:space="0" w:color="auto"/>
                                  </w:divBdr>
                                  <w:divsChild>
                                    <w:div w:id="852836722">
                                      <w:marLeft w:val="0"/>
                                      <w:marRight w:val="0"/>
                                      <w:marTop w:val="0"/>
                                      <w:marBottom w:val="0"/>
                                      <w:divBdr>
                                        <w:top w:val="none" w:sz="0" w:space="0" w:color="auto"/>
                                        <w:left w:val="none" w:sz="0" w:space="0" w:color="auto"/>
                                        <w:bottom w:val="none" w:sz="0" w:space="0" w:color="auto"/>
                                        <w:right w:val="none" w:sz="0" w:space="0" w:color="auto"/>
                                      </w:divBdr>
                                      <w:divsChild>
                                        <w:div w:id="685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17BCA-937D-4545-936A-D3C1BFAD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3729</Words>
  <Characters>20513</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Helics - Stad Leuven</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Geertrui Vanloo</dc:creator>
  <cp:lastModifiedBy>Elke Van Hamme</cp:lastModifiedBy>
  <cp:revision>11</cp:revision>
  <cp:lastPrinted>2015-03-17T13:56:00Z</cp:lastPrinted>
  <dcterms:created xsi:type="dcterms:W3CDTF">2018-03-19T14:47:00Z</dcterms:created>
  <dcterms:modified xsi:type="dcterms:W3CDTF">2018-03-20T09:40:00Z</dcterms:modified>
</cp:coreProperties>
</file>